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E9" w:rsidRPr="0067157B" w:rsidRDefault="005E1FD1" w:rsidP="00FB20E9">
      <w:pPr>
        <w:tabs>
          <w:tab w:val="left" w:pos="709"/>
        </w:tabs>
        <w:rPr>
          <w:b/>
          <w:sz w:val="26"/>
        </w:rPr>
      </w:pPr>
      <w:r w:rsidRPr="0067157B">
        <w:rPr>
          <w:b/>
          <w:sz w:val="26"/>
        </w:rPr>
        <w:t>Outcome</w:t>
      </w:r>
      <w:r w:rsidR="00AC4B40" w:rsidRPr="0067157B">
        <w:rPr>
          <w:b/>
          <w:sz w:val="26"/>
        </w:rPr>
        <w:t xml:space="preserve">s and the </w:t>
      </w:r>
      <w:r w:rsidR="00687130" w:rsidRPr="0067157B">
        <w:rPr>
          <w:b/>
          <w:sz w:val="26"/>
        </w:rPr>
        <w:t xml:space="preserve">national </w:t>
      </w:r>
      <w:r w:rsidRPr="0067157B">
        <w:rPr>
          <w:b/>
          <w:sz w:val="26"/>
        </w:rPr>
        <w:t>p</w:t>
      </w:r>
      <w:r w:rsidR="00AC4B40" w:rsidRPr="0067157B">
        <w:rPr>
          <w:b/>
          <w:sz w:val="26"/>
        </w:rPr>
        <w:t xml:space="preserve">olicy </w:t>
      </w:r>
      <w:r w:rsidRPr="0067157B">
        <w:rPr>
          <w:b/>
          <w:sz w:val="26"/>
        </w:rPr>
        <w:t>context</w:t>
      </w:r>
    </w:p>
    <w:p w:rsidR="00FB20E9" w:rsidRPr="0067157B" w:rsidRDefault="00FB20E9" w:rsidP="00FB20E9">
      <w:pPr>
        <w:tabs>
          <w:tab w:val="left" w:pos="709"/>
        </w:tabs>
      </w:pPr>
    </w:p>
    <w:p w:rsidR="00AC4B40" w:rsidRPr="0067157B" w:rsidRDefault="00AC4B40" w:rsidP="00AC4B40">
      <w:pPr>
        <w:tabs>
          <w:tab w:val="left" w:pos="709"/>
        </w:tabs>
      </w:pPr>
      <w:r w:rsidRPr="0067157B">
        <w:t xml:space="preserve">Voluntary organisations delivering and evaluating their adult learning provision should take account </w:t>
      </w:r>
      <w:r w:rsidR="00687130" w:rsidRPr="0067157B">
        <w:t>of national policies, strategies, action plans and frameworks that have links to their area of work.  Gathering evidence of impact that can show a link with high level work can support funding reports and applications.</w:t>
      </w:r>
    </w:p>
    <w:p w:rsidR="00AC4B40" w:rsidRPr="0067157B" w:rsidRDefault="00AC4B40" w:rsidP="00FB20E9">
      <w:pPr>
        <w:tabs>
          <w:tab w:val="left" w:pos="709"/>
        </w:tabs>
      </w:pPr>
    </w:p>
    <w:p w:rsidR="00FB20E9" w:rsidRPr="0067157B" w:rsidRDefault="00FB20E9" w:rsidP="00FB20E9">
      <w:pPr>
        <w:tabs>
          <w:tab w:val="left" w:pos="709"/>
        </w:tabs>
      </w:pPr>
      <w:r w:rsidRPr="0067157B">
        <w:t xml:space="preserve">A number of policy areas have been developed by the Scottish Government and </w:t>
      </w:r>
      <w:r w:rsidR="005E1FD1" w:rsidRPr="0067157B">
        <w:t>its agencies in recent years, all with an emphasis on outcome-focused delivery — in other words, interventions should be delivered with clear, meaningful results in mind.</w:t>
      </w:r>
      <w:r w:rsidRPr="0067157B">
        <w:t xml:space="preserve"> </w:t>
      </w:r>
      <w:r w:rsidR="005E1FD1" w:rsidRPr="0067157B">
        <w:t xml:space="preserve"> The question is: </w:t>
      </w:r>
      <w:r w:rsidR="005E1FD1" w:rsidRPr="0067157B">
        <w:rPr>
          <w:i/>
        </w:rPr>
        <w:t>what difference will this make, whether to individuals, to communities, or to society</w:t>
      </w:r>
      <w:r w:rsidR="00687130" w:rsidRPr="0067157B">
        <w:rPr>
          <w:i/>
        </w:rPr>
        <w:t>, and can that difference be identified and measured</w:t>
      </w:r>
      <w:r w:rsidR="005E1FD1" w:rsidRPr="0067157B">
        <w:rPr>
          <w:i/>
        </w:rPr>
        <w:t>?</w:t>
      </w:r>
    </w:p>
    <w:p w:rsidR="00FB20E9" w:rsidRPr="0067157B" w:rsidRDefault="00FB20E9" w:rsidP="00FB20E9">
      <w:pPr>
        <w:tabs>
          <w:tab w:val="left" w:pos="709"/>
        </w:tabs>
      </w:pPr>
    </w:p>
    <w:p w:rsidR="009A5F2D" w:rsidRPr="0067157B" w:rsidRDefault="005E1FD1" w:rsidP="00FB20E9">
      <w:pPr>
        <w:tabs>
          <w:tab w:val="left" w:pos="709"/>
        </w:tabs>
      </w:pPr>
      <w:r w:rsidRPr="0067157B">
        <w:t xml:space="preserve">Following the Concordat in 2007 between local authorities and Scottish Government, there has also been a conscious move to localism, partnership working and transparency in the delivery of public services. In its National Performance Framework, the Scottish Government outlined </w:t>
      </w:r>
      <w:r w:rsidR="005D7F4F">
        <w:t xml:space="preserve">its Key Purpose and </w:t>
      </w:r>
      <w:r w:rsidRPr="0067157B">
        <w:t xml:space="preserve">National Outcomes to </w:t>
      </w:r>
      <w:r w:rsidR="00B71114">
        <w:t xml:space="preserve">be embedded </w:t>
      </w:r>
      <w:r w:rsidRPr="0067157B">
        <w:t>in the work of local authorities and their partners. Beneath these National Outcomes sit several Indicators which are used to indicate whether Scotland is making progress in a particular area.</w:t>
      </w:r>
    </w:p>
    <w:p w:rsidR="000303D9" w:rsidRDefault="005D7F4F" w:rsidP="000303D9">
      <w:pPr>
        <w:shd w:val="clear" w:color="auto" w:fill="FFFFFF"/>
        <w:spacing w:before="100" w:beforeAutospacing="1" w:after="240"/>
        <w:rPr>
          <w:rFonts w:ascii="Verdana" w:eastAsia="Times New Roman" w:hAnsi="Verdana"/>
          <w:color w:val="000000"/>
          <w:sz w:val="18"/>
          <w:szCs w:val="18"/>
          <w:lang w:val="en-GB" w:eastAsia="en-GB"/>
        </w:rPr>
      </w:pPr>
      <w:r w:rsidRPr="00AD4555">
        <w:rPr>
          <w:rFonts w:eastAsia="Times New Roman" w:cs="Arial"/>
          <w:i/>
          <w:color w:val="000000"/>
          <w:lang w:val="en-GB" w:eastAsia="en-GB"/>
        </w:rPr>
        <w:t>One Scotland - Programme for Government 2014-15</w:t>
      </w:r>
      <w:r>
        <w:rPr>
          <w:rStyle w:val="FootnoteReference"/>
          <w:rFonts w:eastAsia="Times New Roman" w:cs="Arial"/>
          <w:i/>
          <w:color w:val="000000"/>
          <w:lang w:val="en-GB" w:eastAsia="en-GB"/>
        </w:rPr>
        <w:footnoteReference w:id="1"/>
      </w:r>
      <w:r w:rsidRPr="00AD4555">
        <w:rPr>
          <w:rFonts w:eastAsia="Times New Roman" w:cs="Arial"/>
          <w:color w:val="000000"/>
          <w:lang w:val="en-GB" w:eastAsia="en-GB"/>
        </w:rPr>
        <w:t xml:space="preserve"> is </w:t>
      </w:r>
      <w:r>
        <w:rPr>
          <w:rFonts w:eastAsia="Times New Roman" w:cs="Arial"/>
          <w:color w:val="000000"/>
          <w:lang w:val="en-GB" w:eastAsia="en-GB"/>
        </w:rPr>
        <w:t xml:space="preserve">still informed by the Key Purpose and builds </w:t>
      </w:r>
      <w:r w:rsidRPr="00AD4555">
        <w:rPr>
          <w:rFonts w:eastAsia="Times New Roman" w:cs="Arial"/>
          <w:color w:val="000000"/>
          <w:lang w:val="en-GB" w:eastAsia="en-GB"/>
        </w:rPr>
        <w:t xml:space="preserve">on the following themes: </w:t>
      </w:r>
      <w:r w:rsidRPr="00AD4555">
        <w:rPr>
          <w:rFonts w:eastAsia="Times New Roman" w:cs="Arial"/>
          <w:bCs/>
          <w:color w:val="000000"/>
          <w:lang w:val="en-GB" w:eastAsia="en-GB"/>
        </w:rPr>
        <w:t>Creating More, Better Paid Jobs in a Strong, Sustainable Economy;</w:t>
      </w:r>
      <w:r w:rsidRPr="00AD4555">
        <w:rPr>
          <w:rFonts w:eastAsia="Times New Roman" w:cs="Arial"/>
          <w:color w:val="000000"/>
          <w:lang w:val="en-GB" w:eastAsia="en-GB"/>
        </w:rPr>
        <w:t xml:space="preserve"> </w:t>
      </w:r>
      <w:r w:rsidRPr="00AD4555">
        <w:rPr>
          <w:rFonts w:eastAsia="Times New Roman" w:cs="Arial"/>
          <w:bCs/>
          <w:color w:val="000000"/>
          <w:lang w:val="en-GB" w:eastAsia="en-GB"/>
        </w:rPr>
        <w:t>Building a Fairer Scotland and Tackling Inequality; Passing Power to People and Communities;</w:t>
      </w:r>
      <w:r w:rsidRPr="00AD4555">
        <w:rPr>
          <w:rFonts w:eastAsia="Times New Roman" w:cs="Arial"/>
          <w:color w:val="000000"/>
          <w:lang w:val="en-GB" w:eastAsia="en-GB"/>
        </w:rPr>
        <w:t xml:space="preserve"> </w:t>
      </w:r>
      <w:r w:rsidRPr="00AD4555">
        <w:rPr>
          <w:rFonts w:eastAsia="Times New Roman" w:cs="Arial"/>
          <w:bCs/>
          <w:color w:val="000000"/>
          <w:lang w:val="en-GB" w:eastAsia="en-GB"/>
        </w:rPr>
        <w:t>Creating More, Better Paid Jobs in a Strong, Sustainable Economy</w:t>
      </w:r>
      <w:r>
        <w:rPr>
          <w:rFonts w:eastAsia="Times New Roman" w:cs="Arial"/>
          <w:bCs/>
          <w:color w:val="000000"/>
          <w:lang w:val="en-GB" w:eastAsia="en-GB"/>
        </w:rPr>
        <w:t xml:space="preserve">. Adult learning has much to contribute to all of these. </w:t>
      </w:r>
      <w:r w:rsidRPr="00AD4555">
        <w:rPr>
          <w:rFonts w:ascii="Verdana" w:eastAsia="Times New Roman" w:hAnsi="Verdana"/>
          <w:color w:val="000000"/>
          <w:sz w:val="18"/>
          <w:szCs w:val="18"/>
          <w:lang w:val="en-GB" w:eastAsia="en-GB"/>
        </w:rPr>
        <w:t xml:space="preserve"> </w:t>
      </w:r>
    </w:p>
    <w:p w:rsidR="005E1FD1" w:rsidRPr="000303D9" w:rsidRDefault="0067157B" w:rsidP="000303D9">
      <w:pPr>
        <w:shd w:val="clear" w:color="auto" w:fill="FFFFFF"/>
        <w:spacing w:before="100" w:beforeAutospacing="1" w:after="240"/>
        <w:rPr>
          <w:rFonts w:ascii="Verdana" w:eastAsia="Times New Roman" w:hAnsi="Verdana"/>
          <w:color w:val="000000"/>
          <w:sz w:val="18"/>
          <w:szCs w:val="18"/>
          <w:lang w:val="en-GB" w:eastAsia="en-GB"/>
        </w:rPr>
      </w:pPr>
      <w:r w:rsidRPr="0067157B">
        <w:rPr>
          <w:b/>
          <w:sz w:val="26"/>
        </w:rPr>
        <w:t xml:space="preserve">Policies relating </w:t>
      </w:r>
      <w:r w:rsidR="005D7F4F">
        <w:rPr>
          <w:b/>
          <w:sz w:val="26"/>
        </w:rPr>
        <w:t xml:space="preserve">directly </w:t>
      </w:r>
      <w:r w:rsidRPr="0067157B">
        <w:rPr>
          <w:b/>
          <w:sz w:val="26"/>
        </w:rPr>
        <w:t xml:space="preserve">to adult learning </w:t>
      </w:r>
      <w:r w:rsidR="009A5F2D">
        <w:rPr>
          <w:b/>
          <w:sz w:val="26"/>
        </w:rPr>
        <w:t>in Scotland</w:t>
      </w:r>
      <w:r w:rsidR="00EC6EE2">
        <w:rPr>
          <w:rStyle w:val="FootnoteReference"/>
          <w:b/>
          <w:sz w:val="26"/>
        </w:rPr>
        <w:footnoteReference w:id="2"/>
      </w:r>
    </w:p>
    <w:p w:rsidR="00FB20E9" w:rsidRPr="0067157B" w:rsidRDefault="00FB20E9" w:rsidP="00FB20E9">
      <w:pPr>
        <w:tabs>
          <w:tab w:val="left" w:pos="709"/>
        </w:tabs>
      </w:pPr>
    </w:p>
    <w:p w:rsidR="00FB20E9" w:rsidRPr="00FF1B94" w:rsidRDefault="006770E9" w:rsidP="00FB20E9">
      <w:pPr>
        <w:tabs>
          <w:tab w:val="left" w:pos="709"/>
        </w:tabs>
      </w:pPr>
      <w:hyperlink r:id="rId7" w:history="1">
        <w:r w:rsidR="00182436" w:rsidRPr="00FF1B94">
          <w:rPr>
            <w:rStyle w:val="Hyperlink"/>
            <w:b/>
            <w:u w:val="none"/>
          </w:rPr>
          <w:t>Adult Learning in Scotland: a Statement of Ambition</w:t>
        </w:r>
      </w:hyperlink>
      <w:r w:rsidR="006459AA">
        <w:rPr>
          <w:rStyle w:val="FootnoteReference"/>
          <w:b/>
          <w:color w:val="0000FF" w:themeColor="hyperlink"/>
        </w:rPr>
        <w:footnoteReference w:id="3"/>
      </w:r>
    </w:p>
    <w:p w:rsidR="00182436" w:rsidRDefault="00182436" w:rsidP="00182436">
      <w:pPr>
        <w:tabs>
          <w:tab w:val="left" w:pos="709"/>
        </w:tabs>
      </w:pPr>
      <w:r>
        <w:t>In May 2014 Education Scotland launched its statement of ambition for adult learning.  Its aspiration is that Scotland becomes the best place to learn. The Statement has three core principles, that adult learning should be lifelong, life-wide, and learner-</w:t>
      </w:r>
      <w:proofErr w:type="spellStart"/>
      <w:r>
        <w:t>centred</w:t>
      </w:r>
      <w:proofErr w:type="spellEnd"/>
      <w:r>
        <w:t xml:space="preserve">.  It </w:t>
      </w:r>
      <w:proofErr w:type="spellStart"/>
      <w:r>
        <w:t>recognises</w:t>
      </w:r>
      <w:proofErr w:type="spellEnd"/>
      <w:r>
        <w:t xml:space="preserve"> the key and distinctive role that adult learning plays in helping to develop the person, the family, communities and society.</w:t>
      </w:r>
    </w:p>
    <w:p w:rsidR="00182436" w:rsidRDefault="00182436" w:rsidP="00182436">
      <w:pPr>
        <w:tabs>
          <w:tab w:val="left" w:pos="709"/>
        </w:tabs>
      </w:pPr>
    </w:p>
    <w:p w:rsidR="0067157B" w:rsidRDefault="00182436" w:rsidP="00182436">
      <w:pPr>
        <w:tabs>
          <w:tab w:val="left" w:pos="709"/>
        </w:tabs>
      </w:pPr>
      <w:r>
        <w:lastRenderedPageBreak/>
        <w:t>The next stage in achieving this ambition will be a strategic implementation plan.</w:t>
      </w:r>
    </w:p>
    <w:p w:rsidR="0067157B" w:rsidRPr="006E7D34" w:rsidRDefault="0067157B" w:rsidP="00FB20E9">
      <w:pPr>
        <w:tabs>
          <w:tab w:val="left" w:pos="709"/>
        </w:tabs>
      </w:pPr>
    </w:p>
    <w:p w:rsidR="0045259A" w:rsidRPr="00230A16" w:rsidRDefault="006770E9" w:rsidP="0067157B">
      <w:pPr>
        <w:tabs>
          <w:tab w:val="left" w:pos="709"/>
        </w:tabs>
        <w:rPr>
          <w:color w:val="0000FF"/>
        </w:rPr>
      </w:pPr>
      <w:hyperlink r:id="rId8" w:history="1">
        <w:r w:rsidR="006E7D34" w:rsidRPr="00230A16">
          <w:rPr>
            <w:rStyle w:val="Hyperlink"/>
            <w:b/>
            <w:color w:val="0000FF"/>
            <w:u w:val="none"/>
          </w:rPr>
          <w:t>CLD Strategic Guidance and Regulations</w:t>
        </w:r>
      </w:hyperlink>
      <w:r w:rsidR="006459AA" w:rsidRPr="00230A16">
        <w:rPr>
          <w:rStyle w:val="FootnoteReference"/>
          <w:b/>
          <w:color w:val="0000FF"/>
        </w:rPr>
        <w:footnoteReference w:id="4"/>
      </w:r>
    </w:p>
    <w:p w:rsidR="00182436" w:rsidRDefault="00182436" w:rsidP="00182436">
      <w:pPr>
        <w:tabs>
          <w:tab w:val="left" w:pos="709"/>
        </w:tabs>
      </w:pPr>
      <w:r>
        <w:t>The community learning and development strategic guidance was published in June 2012.</w:t>
      </w:r>
    </w:p>
    <w:p w:rsidR="00182436" w:rsidRDefault="00182436" w:rsidP="00182436">
      <w:pPr>
        <w:tabs>
          <w:tab w:val="left" w:pos="709"/>
        </w:tabs>
      </w:pPr>
    </w:p>
    <w:p w:rsidR="00182436" w:rsidRDefault="00182436" w:rsidP="00182436">
      <w:pPr>
        <w:tabs>
          <w:tab w:val="left" w:pos="709"/>
        </w:tabs>
      </w:pPr>
      <w:r>
        <w:t>The guidance provides a clear statement that the purpose of community learning and development (CLD) is to empower people, individually and collectively, to make positive changes in their lives and in their communities through learning.</w:t>
      </w:r>
    </w:p>
    <w:p w:rsidR="00182436" w:rsidRDefault="00182436" w:rsidP="00182436">
      <w:pPr>
        <w:tabs>
          <w:tab w:val="left" w:pos="709"/>
        </w:tabs>
      </w:pPr>
    </w:p>
    <w:p w:rsidR="00182436" w:rsidRDefault="00182436" w:rsidP="00182436">
      <w:pPr>
        <w:tabs>
          <w:tab w:val="left" w:pos="709"/>
        </w:tabs>
      </w:pPr>
      <w:r>
        <w:t>It is addressed to Community Planning Partnerships (CPPs). However, it has much wider relevance and is for all those involved in planning, managing or delivering CLD services or using a CLD approach to support individuals and communities.</w:t>
      </w:r>
    </w:p>
    <w:p w:rsidR="00182436" w:rsidRDefault="00182436" w:rsidP="00182436">
      <w:pPr>
        <w:tabs>
          <w:tab w:val="left" w:pos="709"/>
        </w:tabs>
      </w:pPr>
    </w:p>
    <w:p w:rsidR="00182436" w:rsidRDefault="00182436" w:rsidP="00182436">
      <w:pPr>
        <w:tabs>
          <w:tab w:val="left" w:pos="709"/>
        </w:tabs>
      </w:pPr>
      <w:r>
        <w:t>It describes how CLD delivers government policy outcomes in communities. It clarifies the Scottish Government's expectations of Community Planning Partnerships (CPPs) and other public sector partners for how CLD services should be delivered.</w:t>
      </w:r>
    </w:p>
    <w:p w:rsidR="00182436" w:rsidRDefault="00182436" w:rsidP="00182436">
      <w:pPr>
        <w:tabs>
          <w:tab w:val="left" w:pos="709"/>
        </w:tabs>
      </w:pPr>
    </w:p>
    <w:p w:rsidR="0067157B" w:rsidRPr="0067157B" w:rsidRDefault="00182436" w:rsidP="00182436">
      <w:pPr>
        <w:tabs>
          <w:tab w:val="left" w:pos="709"/>
        </w:tabs>
        <w:rPr>
          <w:u w:val="single"/>
        </w:rPr>
      </w:pPr>
      <w:r>
        <w:t>It re-</w:t>
      </w:r>
      <w:proofErr w:type="spellStart"/>
      <w:r>
        <w:t>emphasises</w:t>
      </w:r>
      <w:proofErr w:type="spellEnd"/>
      <w:r>
        <w:t xml:space="preserve"> the Government’s commitment to CLD's aims and describes how these will be part of an overall strategic approach to be taken forward by a range of partners including Government itself, Education Scotland and the CLD Standards Council.</w:t>
      </w:r>
    </w:p>
    <w:p w:rsidR="006E7D34" w:rsidRDefault="006E7D34" w:rsidP="00FB20E9">
      <w:pPr>
        <w:tabs>
          <w:tab w:val="left" w:pos="709"/>
        </w:tabs>
        <w:rPr>
          <w:u w:val="single"/>
        </w:rPr>
      </w:pPr>
    </w:p>
    <w:p w:rsidR="006E7D34" w:rsidRPr="006E7D34" w:rsidRDefault="006E7D34" w:rsidP="006E7D34">
      <w:pPr>
        <w:tabs>
          <w:tab w:val="left" w:pos="709"/>
        </w:tabs>
      </w:pPr>
      <w:r w:rsidRPr="006E7D34">
        <w:t>The Requirements for Community Learning and Development (Scotland) Regulations 2013 (the CLD Regulations) came into force on 1 September 2013.</w:t>
      </w:r>
    </w:p>
    <w:p w:rsidR="006E7D34" w:rsidRPr="006E7D34" w:rsidRDefault="006E7D34" w:rsidP="006E7D34">
      <w:pPr>
        <w:tabs>
          <w:tab w:val="left" w:pos="709"/>
        </w:tabs>
      </w:pPr>
    </w:p>
    <w:p w:rsidR="006E7D34" w:rsidRPr="006E7D34" w:rsidRDefault="006E7D34" w:rsidP="006E7D34">
      <w:pPr>
        <w:tabs>
          <w:tab w:val="left" w:pos="709"/>
        </w:tabs>
      </w:pPr>
      <w:r w:rsidRPr="006E7D34">
        <w:t>The CLD Regulations place a requirement on the local authority to initiate, maintain and facilitate a process which ensures that CLD in the area of the local authority is secured in such a way that it:</w:t>
      </w:r>
    </w:p>
    <w:p w:rsidR="006E7D34" w:rsidRPr="006E7D34" w:rsidRDefault="006E7D34" w:rsidP="006E7D34">
      <w:pPr>
        <w:tabs>
          <w:tab w:val="left" w:pos="709"/>
        </w:tabs>
      </w:pPr>
    </w:p>
    <w:p w:rsidR="006E7D34" w:rsidRPr="006E7D34" w:rsidRDefault="006E7D34" w:rsidP="006E7D34">
      <w:pPr>
        <w:pStyle w:val="ListParagraph"/>
        <w:numPr>
          <w:ilvl w:val="0"/>
          <w:numId w:val="24"/>
        </w:numPr>
        <w:tabs>
          <w:tab w:val="left" w:pos="709"/>
        </w:tabs>
      </w:pPr>
      <w:r w:rsidRPr="006E7D34">
        <w:t>identifies target individuals and groups</w:t>
      </w:r>
    </w:p>
    <w:p w:rsidR="006E7D34" w:rsidRPr="006E7D34" w:rsidRDefault="006E7D34" w:rsidP="006E7D34">
      <w:pPr>
        <w:pStyle w:val="ListParagraph"/>
        <w:numPr>
          <w:ilvl w:val="0"/>
          <w:numId w:val="24"/>
        </w:numPr>
        <w:tabs>
          <w:tab w:val="left" w:pos="709"/>
        </w:tabs>
      </w:pPr>
      <w:r w:rsidRPr="006E7D34">
        <w:t>considers the needs of those target individuals and groups for CLD</w:t>
      </w:r>
    </w:p>
    <w:p w:rsidR="006E7D34" w:rsidRPr="006E7D34" w:rsidRDefault="006E7D34" w:rsidP="006E7D34">
      <w:pPr>
        <w:pStyle w:val="ListParagraph"/>
        <w:numPr>
          <w:ilvl w:val="0"/>
          <w:numId w:val="24"/>
        </w:numPr>
        <w:tabs>
          <w:tab w:val="left" w:pos="709"/>
        </w:tabs>
      </w:pPr>
      <w:r w:rsidRPr="006E7D34">
        <w:t>assesses the degree to which those needs are already being met</w:t>
      </w:r>
    </w:p>
    <w:p w:rsidR="006E7D34" w:rsidRPr="006E7D34" w:rsidRDefault="006E7D34" w:rsidP="006E7D34">
      <w:pPr>
        <w:pStyle w:val="ListParagraph"/>
        <w:numPr>
          <w:ilvl w:val="0"/>
          <w:numId w:val="24"/>
        </w:numPr>
        <w:tabs>
          <w:tab w:val="left" w:pos="709"/>
        </w:tabs>
      </w:pPr>
      <w:r w:rsidRPr="006E7D34">
        <w:t>identifies barriers to the adequate and effi</w:t>
      </w:r>
      <w:r w:rsidR="00380C58">
        <w:t>cient provision of relevant CLD</w:t>
      </w:r>
    </w:p>
    <w:p w:rsidR="006E7D34" w:rsidRPr="006E7D34" w:rsidRDefault="006E7D34" w:rsidP="006E7D34">
      <w:pPr>
        <w:pStyle w:val="ListParagraph"/>
        <w:numPr>
          <w:ilvl w:val="0"/>
          <w:numId w:val="24"/>
        </w:numPr>
        <w:tabs>
          <w:tab w:val="left" w:pos="709"/>
        </w:tabs>
      </w:pPr>
      <w:r w:rsidRPr="006E7D34">
        <w:t xml:space="preserve">In meeting this requirement, the local authority must involve and consult </w:t>
      </w:r>
      <w:proofErr w:type="gramStart"/>
      <w:r w:rsidRPr="006E7D34">
        <w:t>those representative</w:t>
      </w:r>
      <w:proofErr w:type="gramEnd"/>
      <w:r w:rsidRPr="006E7D34">
        <w:t xml:space="preserve"> of both the target individuals and groups and CLD providers within the area of the local authority.</w:t>
      </w:r>
    </w:p>
    <w:p w:rsidR="006E7D34" w:rsidRPr="006E7D34" w:rsidRDefault="006E7D34" w:rsidP="006E7D34">
      <w:pPr>
        <w:tabs>
          <w:tab w:val="left" w:pos="709"/>
        </w:tabs>
      </w:pPr>
    </w:p>
    <w:p w:rsidR="006E7D34" w:rsidRPr="006E7D34" w:rsidRDefault="006E7D34" w:rsidP="006E7D34">
      <w:pPr>
        <w:tabs>
          <w:tab w:val="left" w:pos="709"/>
        </w:tabs>
      </w:pPr>
      <w:r w:rsidRPr="006E7D34">
        <w:lastRenderedPageBreak/>
        <w:t>The local authority must consult on and publish specified information every three years. The first of these plans should be in place no later than 1st September 2015, with subsequent plans published at three yearly intervals from the initial date of publication.</w:t>
      </w:r>
    </w:p>
    <w:p w:rsidR="006E7D34" w:rsidRDefault="006E7D34" w:rsidP="006E7D34">
      <w:pPr>
        <w:tabs>
          <w:tab w:val="left" w:pos="709"/>
        </w:tabs>
        <w:rPr>
          <w:u w:val="single"/>
        </w:rPr>
      </w:pPr>
    </w:p>
    <w:p w:rsidR="0067157B" w:rsidRPr="00FF1B94" w:rsidRDefault="006770E9" w:rsidP="0067157B">
      <w:pPr>
        <w:tabs>
          <w:tab w:val="left" w:pos="709"/>
        </w:tabs>
      </w:pPr>
      <w:hyperlink r:id="rId9" w:history="1">
        <w:r w:rsidR="00182436" w:rsidRPr="00FF1B94">
          <w:rPr>
            <w:rStyle w:val="Hyperlink"/>
            <w:b/>
            <w:u w:val="none"/>
          </w:rPr>
          <w:t>Adult Literacies in Scotland 2020</w:t>
        </w:r>
      </w:hyperlink>
      <w:r w:rsidR="006459AA">
        <w:rPr>
          <w:rStyle w:val="FootnoteReference"/>
          <w:b/>
          <w:color w:val="0000FF" w:themeColor="hyperlink"/>
        </w:rPr>
        <w:footnoteReference w:id="5"/>
      </w:r>
    </w:p>
    <w:p w:rsidR="00FB20E9" w:rsidRDefault="00182436" w:rsidP="00FB20E9">
      <w:pPr>
        <w:tabs>
          <w:tab w:val="left" w:pos="709"/>
        </w:tabs>
      </w:pPr>
      <w:r>
        <w:t xml:space="preserve">In December 2010 the Scottish Government launched its renewed strategy for developing adult literacy and numeracy (literacies) skills through the delivery of high quality adult learning provision.  </w:t>
      </w:r>
    </w:p>
    <w:p w:rsidR="00182436" w:rsidRDefault="00182436" w:rsidP="00FB20E9">
      <w:pPr>
        <w:tabs>
          <w:tab w:val="left" w:pos="709"/>
        </w:tabs>
      </w:pPr>
    </w:p>
    <w:p w:rsidR="00182436" w:rsidRDefault="00182436" w:rsidP="00FB20E9">
      <w:pPr>
        <w:tabs>
          <w:tab w:val="left" w:pos="709"/>
        </w:tabs>
      </w:pPr>
      <w:r>
        <w:t>The implementation of the strategy is led by Education Scotland through a national Strategic Implementation Group with representation from national stakeholders in the strategy’s success.</w:t>
      </w:r>
    </w:p>
    <w:p w:rsidR="009269C4" w:rsidRDefault="009269C4" w:rsidP="00FB20E9">
      <w:pPr>
        <w:tabs>
          <w:tab w:val="left" w:pos="709"/>
        </w:tabs>
      </w:pPr>
    </w:p>
    <w:p w:rsidR="00182436" w:rsidRDefault="009269C4" w:rsidP="00FB20E9">
      <w:pPr>
        <w:tabs>
          <w:tab w:val="left" w:pos="709"/>
        </w:tabs>
      </w:pPr>
      <w:r>
        <w:t xml:space="preserve">In 2015, Education Scotland </w:t>
      </w:r>
      <w:r w:rsidR="006459AA">
        <w:t>will make</w:t>
      </w:r>
      <w:r w:rsidR="00380C58">
        <w:t xml:space="preserve"> a five-</w:t>
      </w:r>
      <w:r>
        <w:t>year statement on the progress of the strategy and highlight the commitments for</w:t>
      </w:r>
      <w:r w:rsidR="00380C58">
        <w:t xml:space="preserve"> the remaining five</w:t>
      </w:r>
      <w:r>
        <w:t xml:space="preserve"> years of ALIS 2020.</w:t>
      </w:r>
      <w:r w:rsidR="006459AA">
        <w:t xml:space="preserve">  </w:t>
      </w:r>
      <w:r w:rsidR="006459AA" w:rsidRPr="006459AA">
        <w:t>These commitments will tie in with the implementation of the Adult Learning Statement of Ambition.</w:t>
      </w:r>
    </w:p>
    <w:p w:rsidR="00EC6EE2" w:rsidRDefault="00EC6EE2" w:rsidP="00EC6EE2">
      <w:pPr>
        <w:tabs>
          <w:tab w:val="left" w:pos="709"/>
        </w:tabs>
      </w:pPr>
    </w:p>
    <w:p w:rsidR="00EC6EE2" w:rsidRPr="00EC6EE2" w:rsidRDefault="006770E9" w:rsidP="00EC6EE2">
      <w:pPr>
        <w:tabs>
          <w:tab w:val="left" w:pos="709"/>
        </w:tabs>
        <w:rPr>
          <w:b/>
          <w:color w:val="3366FF"/>
        </w:rPr>
      </w:pPr>
      <w:hyperlink r:id="rId10" w:history="1">
        <w:r w:rsidR="00EC6EE2" w:rsidRPr="00EC6EE2">
          <w:rPr>
            <w:rStyle w:val="Hyperlink"/>
            <w:b/>
            <w:u w:val="none"/>
          </w:rPr>
          <w:t>Scotland's Adult ESOL Strategy 2015-2020</w:t>
        </w:r>
      </w:hyperlink>
      <w:r w:rsidR="00EC6EE2">
        <w:rPr>
          <w:rStyle w:val="FootnoteReference"/>
          <w:b/>
          <w:color w:val="3366FF"/>
        </w:rPr>
        <w:footnoteReference w:id="6"/>
      </w:r>
    </w:p>
    <w:p w:rsidR="00EC6EE2" w:rsidRDefault="00EC6EE2" w:rsidP="00EC6EE2">
      <w:pPr>
        <w:tabs>
          <w:tab w:val="left" w:pos="709"/>
        </w:tabs>
      </w:pPr>
      <w:r>
        <w:t>The Adult ESOL Strategy for Scotland aims to support Scotland's ambitions for growing the economy and to encourage active citizenship in a diverse and pluralistic society.</w:t>
      </w:r>
    </w:p>
    <w:p w:rsidR="00EC6EE2" w:rsidRDefault="00EC6EE2" w:rsidP="00EC6EE2">
      <w:pPr>
        <w:tabs>
          <w:tab w:val="left" w:pos="709"/>
        </w:tabs>
      </w:pPr>
    </w:p>
    <w:p w:rsidR="00EC6EE2" w:rsidRDefault="00EC6EE2" w:rsidP="00EC6EE2">
      <w:pPr>
        <w:tabs>
          <w:tab w:val="left" w:pos="709"/>
        </w:tabs>
      </w:pPr>
      <w:r>
        <w:t>The Strategy has been refreshed to take account of new and developing policy.</w:t>
      </w:r>
    </w:p>
    <w:p w:rsidR="00EC6EE2" w:rsidRDefault="00EC6EE2" w:rsidP="00EC6EE2">
      <w:pPr>
        <w:tabs>
          <w:tab w:val="left" w:pos="709"/>
        </w:tabs>
      </w:pPr>
    </w:p>
    <w:p w:rsidR="00EC6EE2" w:rsidRDefault="00EC6EE2" w:rsidP="00EC6EE2">
      <w:pPr>
        <w:tabs>
          <w:tab w:val="left" w:pos="709"/>
        </w:tabs>
      </w:pPr>
      <w:r>
        <w:t xml:space="preserve">It maintains the vision and principles of the 2007 strategy and </w:t>
      </w:r>
      <w:proofErr w:type="spellStart"/>
      <w:r>
        <w:t>recognises</w:t>
      </w:r>
      <w:proofErr w:type="spellEnd"/>
      <w:r>
        <w:t xml:space="preserve"> the achievements that have been made since then. It seeks to build on the achievements to date and to provide renewed strategic direction framed within the Scottish Adult Learning Statement of Ambition.</w:t>
      </w:r>
    </w:p>
    <w:p w:rsidR="00EC6EE2" w:rsidRPr="0067157B" w:rsidRDefault="00EC6EE2" w:rsidP="00FB20E9">
      <w:pPr>
        <w:tabs>
          <w:tab w:val="left" w:pos="709"/>
        </w:tabs>
      </w:pPr>
    </w:p>
    <w:p w:rsidR="00FF1B94" w:rsidRPr="00FF1B94" w:rsidRDefault="006770E9" w:rsidP="00FB20E9">
      <w:pPr>
        <w:tabs>
          <w:tab w:val="left" w:pos="709"/>
        </w:tabs>
        <w:rPr>
          <w:b/>
        </w:rPr>
      </w:pPr>
      <w:hyperlink r:id="rId11" w:history="1">
        <w:r w:rsidR="00FF1B94" w:rsidRPr="00FF1B94">
          <w:rPr>
            <w:rStyle w:val="Hyperlink"/>
            <w:b/>
            <w:u w:val="none"/>
          </w:rPr>
          <w:t>Curriculum for Excellence</w:t>
        </w:r>
      </w:hyperlink>
      <w:r w:rsidR="006459AA">
        <w:rPr>
          <w:rStyle w:val="FootnoteReference"/>
          <w:b/>
          <w:color w:val="0000FF" w:themeColor="hyperlink"/>
        </w:rPr>
        <w:footnoteReference w:id="7"/>
      </w:r>
    </w:p>
    <w:p w:rsidR="00FF1B94" w:rsidRDefault="00FF1B94" w:rsidP="00FF1B94">
      <w:pPr>
        <w:tabs>
          <w:tab w:val="left" w:pos="709"/>
        </w:tabs>
      </w:pPr>
      <w:r>
        <w:t>Curriculum for Excellence aims to achieve a transformation in education in Scotland by providing a coherent, more flexible and enriched curriculum from 3 to 18.</w:t>
      </w:r>
    </w:p>
    <w:p w:rsidR="00FF1B94" w:rsidRDefault="00FF1B94" w:rsidP="00FF1B94">
      <w:pPr>
        <w:tabs>
          <w:tab w:val="left" w:pos="709"/>
        </w:tabs>
      </w:pPr>
    </w:p>
    <w:p w:rsidR="00FF1B94" w:rsidRDefault="00FF1B94" w:rsidP="00FF1B94">
      <w:pPr>
        <w:tabs>
          <w:tab w:val="left" w:pos="709"/>
        </w:tabs>
      </w:pPr>
      <w:r>
        <w:t>The curriculum includes the totality of experiences which are planned for children and young people through their education, wherever they are being educated.</w:t>
      </w:r>
    </w:p>
    <w:p w:rsidR="00FB20E9" w:rsidRPr="00FF1B94" w:rsidRDefault="00FB20E9" w:rsidP="00FB20E9">
      <w:pPr>
        <w:tabs>
          <w:tab w:val="left" w:pos="709"/>
        </w:tabs>
      </w:pPr>
      <w:r w:rsidRPr="00FF1B94">
        <w:lastRenderedPageBreak/>
        <w:t>Curriculum for Excellence</w:t>
      </w:r>
      <w:r w:rsidR="00FF1B94">
        <w:t xml:space="preserve"> </w:t>
      </w:r>
      <w:r w:rsidR="00FF1B94" w:rsidRPr="00FF1B94">
        <w:t>aims</w:t>
      </w:r>
      <w:r w:rsidRPr="00FF1B94">
        <w:t xml:space="preserve"> </w:t>
      </w:r>
      <w:r w:rsidR="00FF1B94" w:rsidRPr="00FF1B94">
        <w:t xml:space="preserve">to </w:t>
      </w:r>
      <w:r w:rsidRPr="00FF1B94">
        <w:t>create:</w:t>
      </w:r>
    </w:p>
    <w:p w:rsidR="00FB20E9" w:rsidRPr="00FF1B94" w:rsidRDefault="00FB20E9" w:rsidP="00FB20E9">
      <w:pPr>
        <w:tabs>
          <w:tab w:val="left" w:pos="709"/>
        </w:tabs>
      </w:pPr>
    </w:p>
    <w:p w:rsidR="00FB20E9" w:rsidRPr="00FF1B94" w:rsidRDefault="00FB20E9" w:rsidP="00FF1B94">
      <w:pPr>
        <w:pStyle w:val="ListParagraph"/>
        <w:numPr>
          <w:ilvl w:val="0"/>
          <w:numId w:val="16"/>
        </w:numPr>
        <w:tabs>
          <w:tab w:val="left" w:pos="709"/>
        </w:tabs>
      </w:pPr>
      <w:r w:rsidRPr="00FF1B94">
        <w:t>Successful Learners</w:t>
      </w:r>
    </w:p>
    <w:p w:rsidR="00FB20E9" w:rsidRPr="00FF1B94" w:rsidRDefault="00FB20E9" w:rsidP="00FF1B94">
      <w:pPr>
        <w:pStyle w:val="ListParagraph"/>
        <w:numPr>
          <w:ilvl w:val="0"/>
          <w:numId w:val="16"/>
        </w:numPr>
        <w:tabs>
          <w:tab w:val="left" w:pos="709"/>
        </w:tabs>
      </w:pPr>
      <w:r w:rsidRPr="00FF1B94">
        <w:t>Confident Individuals</w:t>
      </w:r>
    </w:p>
    <w:p w:rsidR="00FB20E9" w:rsidRPr="00FF1B94" w:rsidRDefault="00FB20E9" w:rsidP="00FF1B94">
      <w:pPr>
        <w:pStyle w:val="ListParagraph"/>
        <w:numPr>
          <w:ilvl w:val="0"/>
          <w:numId w:val="16"/>
        </w:numPr>
        <w:tabs>
          <w:tab w:val="left" w:pos="709"/>
        </w:tabs>
      </w:pPr>
      <w:r w:rsidRPr="00FF1B94">
        <w:t>Responsible Citizens</w:t>
      </w:r>
      <w:r w:rsidR="00FF1B94" w:rsidRPr="00FF1B94">
        <w:t>, and</w:t>
      </w:r>
    </w:p>
    <w:p w:rsidR="00FB20E9" w:rsidRPr="00FF1B94" w:rsidRDefault="00FB20E9" w:rsidP="00FF1B94">
      <w:pPr>
        <w:pStyle w:val="ListParagraph"/>
        <w:numPr>
          <w:ilvl w:val="0"/>
          <w:numId w:val="16"/>
        </w:numPr>
        <w:tabs>
          <w:tab w:val="left" w:pos="709"/>
        </w:tabs>
      </w:pPr>
      <w:r w:rsidRPr="00FF1B94">
        <w:t>Effective Contributors</w:t>
      </w:r>
    </w:p>
    <w:p w:rsidR="00FB20E9" w:rsidRPr="00FF1B94" w:rsidRDefault="00FB20E9" w:rsidP="00FB20E9">
      <w:pPr>
        <w:tabs>
          <w:tab w:val="left" w:pos="709"/>
        </w:tabs>
      </w:pPr>
    </w:p>
    <w:p w:rsidR="00FB20E9" w:rsidRPr="00FF1B94" w:rsidRDefault="00FF1B94" w:rsidP="00FB20E9">
      <w:pPr>
        <w:tabs>
          <w:tab w:val="left" w:pos="709"/>
        </w:tabs>
      </w:pPr>
      <w:r w:rsidRPr="00FF1B94">
        <w:t xml:space="preserve">One of the important features of Curriculum for Excellence is that learning outside the classroom and the institution is valued and can be accredited. </w:t>
      </w:r>
      <w:r w:rsidR="0045259A">
        <w:t>I</w:t>
      </w:r>
      <w:r w:rsidRPr="00FF1B94">
        <w:t>t is possible that learners can gain credit for learning that takes place in non-formal adult learning settings.</w:t>
      </w:r>
    </w:p>
    <w:p w:rsidR="00FB20E9" w:rsidRDefault="00FB20E9" w:rsidP="00B5319E">
      <w:pPr>
        <w:tabs>
          <w:tab w:val="left" w:pos="709"/>
        </w:tabs>
      </w:pPr>
    </w:p>
    <w:p w:rsidR="00FB20E9" w:rsidRPr="00771F9B" w:rsidRDefault="00FB20E9" w:rsidP="00B5319E">
      <w:pPr>
        <w:tabs>
          <w:tab w:val="left" w:pos="709"/>
        </w:tabs>
      </w:pPr>
    </w:p>
    <w:sectPr w:rsidR="00FB20E9" w:rsidRPr="00771F9B" w:rsidSect="009132DF">
      <w:pgSz w:w="16840" w:h="11900"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6A" w:rsidRDefault="004B586A" w:rsidP="0006360D">
      <w:r>
        <w:separator/>
      </w:r>
    </w:p>
  </w:endnote>
  <w:endnote w:type="continuationSeparator" w:id="0">
    <w:p w:rsidR="004B586A" w:rsidRDefault="004B586A" w:rsidP="00063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6A" w:rsidRDefault="004B586A" w:rsidP="0006360D">
      <w:r>
        <w:separator/>
      </w:r>
    </w:p>
  </w:footnote>
  <w:footnote w:type="continuationSeparator" w:id="0">
    <w:p w:rsidR="004B586A" w:rsidRDefault="004B586A" w:rsidP="0006360D">
      <w:r>
        <w:continuationSeparator/>
      </w:r>
    </w:p>
  </w:footnote>
  <w:footnote w:id="1">
    <w:p w:rsidR="00FA46CD" w:rsidRPr="005360E2" w:rsidRDefault="00FA46CD" w:rsidP="005D7F4F">
      <w:pPr>
        <w:pStyle w:val="FootnoteText"/>
        <w:rPr>
          <w:sz w:val="20"/>
          <w:lang w:val="en-GB"/>
        </w:rPr>
      </w:pPr>
      <w:r w:rsidRPr="005360E2">
        <w:rPr>
          <w:rStyle w:val="FootnoteReference"/>
          <w:sz w:val="20"/>
        </w:rPr>
        <w:footnoteRef/>
      </w:r>
      <w:r w:rsidRPr="005360E2">
        <w:rPr>
          <w:sz w:val="20"/>
        </w:rPr>
        <w:t xml:space="preserve"> </w:t>
      </w:r>
      <w:hyperlink r:id="rId1" w:anchor="res-1" w:history="1">
        <w:r w:rsidRPr="005360E2">
          <w:rPr>
            <w:rStyle w:val="Hyperlink"/>
            <w:sz w:val="20"/>
          </w:rPr>
          <w:t>http://www.scotland.gov.uk/Publications/2014/11/6336/downloads#res-1</w:t>
        </w:r>
      </w:hyperlink>
      <w:r w:rsidRPr="005360E2">
        <w:rPr>
          <w:sz w:val="20"/>
        </w:rPr>
        <w:t xml:space="preserve"> </w:t>
      </w:r>
    </w:p>
  </w:footnote>
  <w:footnote w:id="2">
    <w:p w:rsidR="00FA46CD" w:rsidRDefault="00FA46CD">
      <w:pPr>
        <w:pStyle w:val="FootnoteText"/>
      </w:pPr>
      <w:r>
        <w:rPr>
          <w:rStyle w:val="FootnoteReference"/>
        </w:rPr>
        <w:footnoteRef/>
      </w:r>
      <w:r>
        <w:t xml:space="preserve"> </w:t>
      </w:r>
      <w:proofErr w:type="gramStart"/>
      <w:r>
        <w:t>descriptions</w:t>
      </w:r>
      <w:proofErr w:type="gramEnd"/>
      <w:r>
        <w:t xml:space="preserve"> of the policy documents and strategies are drawn from the documents themselves or from the </w:t>
      </w:r>
      <w:proofErr w:type="spellStart"/>
      <w:r>
        <w:t>webpages</w:t>
      </w:r>
      <w:proofErr w:type="spellEnd"/>
      <w:r>
        <w:t xml:space="preserve"> that host them (spring 2015).</w:t>
      </w:r>
    </w:p>
  </w:footnote>
  <w:footnote w:id="3">
    <w:p w:rsidR="00FA46CD" w:rsidRPr="005360E2" w:rsidRDefault="00FA46CD">
      <w:pPr>
        <w:pStyle w:val="FootnoteText"/>
        <w:rPr>
          <w:sz w:val="20"/>
        </w:rPr>
      </w:pPr>
      <w:r w:rsidRPr="005360E2">
        <w:rPr>
          <w:rStyle w:val="FootnoteReference"/>
          <w:sz w:val="20"/>
        </w:rPr>
        <w:footnoteRef/>
      </w:r>
      <w:r w:rsidRPr="005360E2">
        <w:rPr>
          <w:sz w:val="20"/>
        </w:rPr>
        <w:t xml:space="preserve"> </w:t>
      </w:r>
      <w:hyperlink r:id="rId2" w:history="1">
        <w:r w:rsidRPr="005360E2">
          <w:rPr>
            <w:rStyle w:val="Hyperlink"/>
            <w:sz w:val="20"/>
          </w:rPr>
          <w:t>http://www.educationscotland.gov.uk/communitylearninganddevelopment/adultlearning/communitybasedadultlearning/statementofambition.asp</w:t>
        </w:r>
      </w:hyperlink>
      <w:r w:rsidRPr="005360E2">
        <w:rPr>
          <w:sz w:val="20"/>
        </w:rPr>
        <w:t xml:space="preserve"> </w:t>
      </w:r>
    </w:p>
  </w:footnote>
  <w:footnote w:id="4">
    <w:p w:rsidR="00FA46CD" w:rsidRPr="005360E2" w:rsidRDefault="00FA46CD">
      <w:pPr>
        <w:pStyle w:val="FootnoteText"/>
        <w:rPr>
          <w:sz w:val="20"/>
        </w:rPr>
      </w:pPr>
      <w:r w:rsidRPr="005360E2">
        <w:rPr>
          <w:rStyle w:val="FootnoteReference"/>
          <w:sz w:val="20"/>
        </w:rPr>
        <w:footnoteRef/>
      </w:r>
      <w:r w:rsidRPr="005360E2">
        <w:rPr>
          <w:sz w:val="20"/>
        </w:rPr>
        <w:t xml:space="preserve"> </w:t>
      </w:r>
      <w:hyperlink r:id="rId3" w:history="1">
        <w:r w:rsidRPr="005360E2">
          <w:rPr>
            <w:rStyle w:val="Hyperlink"/>
            <w:sz w:val="20"/>
          </w:rPr>
          <w:t>http://www.educationscotland.gov.uk/communitylearninganddevelopment/about/strategicguidance/aims.asp</w:t>
        </w:r>
      </w:hyperlink>
      <w:r w:rsidRPr="005360E2">
        <w:rPr>
          <w:sz w:val="20"/>
        </w:rPr>
        <w:t xml:space="preserve"> </w:t>
      </w:r>
    </w:p>
  </w:footnote>
  <w:footnote w:id="5">
    <w:p w:rsidR="00FA46CD" w:rsidRPr="005360E2" w:rsidRDefault="00FA46CD">
      <w:pPr>
        <w:pStyle w:val="FootnoteText"/>
        <w:rPr>
          <w:rFonts w:cs="Arial"/>
          <w:sz w:val="20"/>
        </w:rPr>
      </w:pPr>
      <w:r w:rsidRPr="005360E2">
        <w:rPr>
          <w:rStyle w:val="FootnoteReference"/>
          <w:rFonts w:cs="Arial"/>
          <w:sz w:val="20"/>
        </w:rPr>
        <w:footnoteRef/>
      </w:r>
      <w:r w:rsidRPr="005360E2">
        <w:rPr>
          <w:rFonts w:cs="Arial"/>
          <w:sz w:val="20"/>
        </w:rPr>
        <w:t xml:space="preserve"> </w:t>
      </w:r>
      <w:hyperlink r:id="rId4" w:history="1">
        <w:r w:rsidRPr="005360E2">
          <w:rPr>
            <w:rStyle w:val="Hyperlink"/>
            <w:rFonts w:cs="Arial"/>
            <w:sz w:val="20"/>
          </w:rPr>
          <w:t>http://www.scotland.gov.uk/Publications/2011/01/25121451/0</w:t>
        </w:r>
      </w:hyperlink>
      <w:r w:rsidRPr="005360E2">
        <w:rPr>
          <w:rFonts w:cs="Arial"/>
          <w:color w:val="000000"/>
          <w:sz w:val="20"/>
        </w:rPr>
        <w:t xml:space="preserve"> </w:t>
      </w:r>
    </w:p>
  </w:footnote>
  <w:footnote w:id="6">
    <w:p w:rsidR="00FA46CD" w:rsidRDefault="00FA46CD">
      <w:pPr>
        <w:pStyle w:val="FootnoteText"/>
      </w:pPr>
      <w:r>
        <w:rPr>
          <w:rStyle w:val="FootnoteReference"/>
        </w:rPr>
        <w:footnoteRef/>
      </w:r>
      <w:r>
        <w:t xml:space="preserve"> </w:t>
      </w:r>
      <w:hyperlink r:id="rId5" w:history="1">
        <w:r w:rsidRPr="00332005">
          <w:rPr>
            <w:rStyle w:val="Hyperlink"/>
          </w:rPr>
          <w:t>http://www.educationscotland.gov.uk/communitylearninganddevelopment/adultlearning/ESOL/policy/strategy.asp</w:t>
        </w:r>
      </w:hyperlink>
      <w:r>
        <w:t xml:space="preserve"> </w:t>
      </w:r>
    </w:p>
  </w:footnote>
  <w:footnote w:id="7">
    <w:p w:rsidR="00FA46CD" w:rsidRPr="005360E2" w:rsidRDefault="00FA46CD">
      <w:pPr>
        <w:pStyle w:val="FootnoteText"/>
        <w:rPr>
          <w:sz w:val="20"/>
        </w:rPr>
      </w:pPr>
      <w:r w:rsidRPr="005360E2">
        <w:rPr>
          <w:rStyle w:val="FootnoteReference"/>
          <w:rFonts w:cs="Arial"/>
          <w:sz w:val="20"/>
        </w:rPr>
        <w:footnoteRef/>
      </w:r>
      <w:r w:rsidRPr="005360E2">
        <w:rPr>
          <w:rFonts w:cs="Arial"/>
          <w:sz w:val="20"/>
        </w:rPr>
        <w:t xml:space="preserve"> </w:t>
      </w:r>
      <w:hyperlink r:id="rId6" w:history="1">
        <w:r w:rsidRPr="005360E2">
          <w:rPr>
            <w:rStyle w:val="Hyperlink"/>
            <w:rFonts w:cs="Arial"/>
            <w:sz w:val="20"/>
          </w:rPr>
          <w:t>http://www.educationscotland.gov.uk/thecurriculum/whatiscurriculumforexcellence/</w:t>
        </w:r>
      </w:hyperlink>
      <w:r w:rsidRPr="005360E2">
        <w:rPr>
          <w:rFonts w:cs="Arial"/>
          <w:color w:val="000000"/>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F14"/>
    <w:multiLevelType w:val="hybridMultilevel"/>
    <w:tmpl w:val="F428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0066F"/>
    <w:multiLevelType w:val="hybridMultilevel"/>
    <w:tmpl w:val="04D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D1BCB"/>
    <w:multiLevelType w:val="hybridMultilevel"/>
    <w:tmpl w:val="0352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74DA2"/>
    <w:multiLevelType w:val="hybridMultilevel"/>
    <w:tmpl w:val="FD9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C5F35"/>
    <w:multiLevelType w:val="hybridMultilevel"/>
    <w:tmpl w:val="6B6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83FB8"/>
    <w:multiLevelType w:val="hybridMultilevel"/>
    <w:tmpl w:val="4CFA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22DB5"/>
    <w:multiLevelType w:val="hybridMultilevel"/>
    <w:tmpl w:val="F80466BA"/>
    <w:lvl w:ilvl="0" w:tplc="B41E81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CF3F88"/>
    <w:multiLevelType w:val="hybridMultilevel"/>
    <w:tmpl w:val="28E4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C53B9"/>
    <w:multiLevelType w:val="hybridMultilevel"/>
    <w:tmpl w:val="3F52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9296E"/>
    <w:multiLevelType w:val="hybridMultilevel"/>
    <w:tmpl w:val="56E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70AFB"/>
    <w:multiLevelType w:val="hybridMultilevel"/>
    <w:tmpl w:val="FD4E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96F37"/>
    <w:multiLevelType w:val="hybridMultilevel"/>
    <w:tmpl w:val="B6AC8EC8"/>
    <w:lvl w:ilvl="0" w:tplc="F976D0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F2686"/>
    <w:multiLevelType w:val="hybridMultilevel"/>
    <w:tmpl w:val="39E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B3942"/>
    <w:multiLevelType w:val="hybridMultilevel"/>
    <w:tmpl w:val="B2C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648FD"/>
    <w:multiLevelType w:val="hybridMultilevel"/>
    <w:tmpl w:val="3AA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C4823"/>
    <w:multiLevelType w:val="hybridMultilevel"/>
    <w:tmpl w:val="A96AC078"/>
    <w:lvl w:ilvl="0" w:tplc="2FB0BE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63200"/>
    <w:multiLevelType w:val="hybridMultilevel"/>
    <w:tmpl w:val="B5F0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E7DF8"/>
    <w:multiLevelType w:val="hybridMultilevel"/>
    <w:tmpl w:val="D92A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63D1C"/>
    <w:multiLevelType w:val="hybridMultilevel"/>
    <w:tmpl w:val="44B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94DEF"/>
    <w:multiLevelType w:val="hybridMultilevel"/>
    <w:tmpl w:val="0502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D034B"/>
    <w:multiLevelType w:val="hybridMultilevel"/>
    <w:tmpl w:val="204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780D6C"/>
    <w:multiLevelType w:val="hybridMultilevel"/>
    <w:tmpl w:val="5502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95A87"/>
    <w:multiLevelType w:val="hybridMultilevel"/>
    <w:tmpl w:val="28E4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C0EFD"/>
    <w:multiLevelType w:val="hybridMultilevel"/>
    <w:tmpl w:val="43CC6994"/>
    <w:lvl w:ilvl="0" w:tplc="F976D018">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C1C46"/>
    <w:multiLevelType w:val="hybridMultilevel"/>
    <w:tmpl w:val="C1E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EC1F5B"/>
    <w:multiLevelType w:val="hybridMultilevel"/>
    <w:tmpl w:val="611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0"/>
  </w:num>
  <w:num w:numId="5">
    <w:abstractNumId w:val="17"/>
  </w:num>
  <w:num w:numId="6">
    <w:abstractNumId w:val="3"/>
  </w:num>
  <w:num w:numId="7">
    <w:abstractNumId w:val="12"/>
  </w:num>
  <w:num w:numId="8">
    <w:abstractNumId w:val="22"/>
  </w:num>
  <w:num w:numId="9">
    <w:abstractNumId w:val="7"/>
  </w:num>
  <w:num w:numId="10">
    <w:abstractNumId w:val="20"/>
  </w:num>
  <w:num w:numId="11">
    <w:abstractNumId w:val="18"/>
  </w:num>
  <w:num w:numId="12">
    <w:abstractNumId w:val="11"/>
  </w:num>
  <w:num w:numId="13">
    <w:abstractNumId w:val="25"/>
  </w:num>
  <w:num w:numId="14">
    <w:abstractNumId w:val="21"/>
  </w:num>
  <w:num w:numId="15">
    <w:abstractNumId w:val="2"/>
  </w:num>
  <w:num w:numId="16">
    <w:abstractNumId w:val="24"/>
  </w:num>
  <w:num w:numId="17">
    <w:abstractNumId w:val="9"/>
  </w:num>
  <w:num w:numId="18">
    <w:abstractNumId w:val="13"/>
  </w:num>
  <w:num w:numId="19">
    <w:abstractNumId w:val="6"/>
  </w:num>
  <w:num w:numId="20">
    <w:abstractNumId w:val="1"/>
  </w:num>
  <w:num w:numId="21">
    <w:abstractNumId w:val="16"/>
  </w:num>
  <w:num w:numId="22">
    <w:abstractNumId w:val="8"/>
  </w:num>
  <w:num w:numId="23">
    <w:abstractNumId w:val="14"/>
  </w:num>
  <w:num w:numId="24">
    <w:abstractNumId w:val="10"/>
  </w:num>
  <w:num w:numId="25">
    <w:abstractNumId w:val="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4A13D2"/>
    <w:rsid w:val="00004428"/>
    <w:rsid w:val="00014B5A"/>
    <w:rsid w:val="00024770"/>
    <w:rsid w:val="000303D9"/>
    <w:rsid w:val="000314FB"/>
    <w:rsid w:val="00045DB6"/>
    <w:rsid w:val="00046D18"/>
    <w:rsid w:val="0005639A"/>
    <w:rsid w:val="0006360D"/>
    <w:rsid w:val="00070544"/>
    <w:rsid w:val="000C187C"/>
    <w:rsid w:val="0011131A"/>
    <w:rsid w:val="0015151C"/>
    <w:rsid w:val="00155021"/>
    <w:rsid w:val="00160F52"/>
    <w:rsid w:val="00162B06"/>
    <w:rsid w:val="0016733A"/>
    <w:rsid w:val="00182436"/>
    <w:rsid w:val="0018493A"/>
    <w:rsid w:val="001A0769"/>
    <w:rsid w:val="001A2FE0"/>
    <w:rsid w:val="001B0607"/>
    <w:rsid w:val="001D216F"/>
    <w:rsid w:val="001E48F0"/>
    <w:rsid w:val="00222A6B"/>
    <w:rsid w:val="00225E71"/>
    <w:rsid w:val="00230A16"/>
    <w:rsid w:val="00231F9A"/>
    <w:rsid w:val="00234F7B"/>
    <w:rsid w:val="002758BE"/>
    <w:rsid w:val="002778D5"/>
    <w:rsid w:val="002845DC"/>
    <w:rsid w:val="00284F00"/>
    <w:rsid w:val="00285D04"/>
    <w:rsid w:val="002907A7"/>
    <w:rsid w:val="00297D86"/>
    <w:rsid w:val="002A59F0"/>
    <w:rsid w:val="002A7446"/>
    <w:rsid w:val="002C38A0"/>
    <w:rsid w:val="00346417"/>
    <w:rsid w:val="00350082"/>
    <w:rsid w:val="00352B1A"/>
    <w:rsid w:val="00375650"/>
    <w:rsid w:val="00380C58"/>
    <w:rsid w:val="003A0416"/>
    <w:rsid w:val="003B3A81"/>
    <w:rsid w:val="003C4E08"/>
    <w:rsid w:val="003D55AB"/>
    <w:rsid w:val="003F0BE3"/>
    <w:rsid w:val="003F2FC7"/>
    <w:rsid w:val="004040DB"/>
    <w:rsid w:val="0041681B"/>
    <w:rsid w:val="00424C36"/>
    <w:rsid w:val="00431379"/>
    <w:rsid w:val="004333E3"/>
    <w:rsid w:val="0045259A"/>
    <w:rsid w:val="004619A5"/>
    <w:rsid w:val="00471E1C"/>
    <w:rsid w:val="0049102C"/>
    <w:rsid w:val="004A13D2"/>
    <w:rsid w:val="004B34EB"/>
    <w:rsid w:val="004B4F26"/>
    <w:rsid w:val="004B586A"/>
    <w:rsid w:val="004C11C8"/>
    <w:rsid w:val="004C6241"/>
    <w:rsid w:val="004C75F8"/>
    <w:rsid w:val="004D55D6"/>
    <w:rsid w:val="00503EFA"/>
    <w:rsid w:val="00507452"/>
    <w:rsid w:val="00510169"/>
    <w:rsid w:val="00512F24"/>
    <w:rsid w:val="005247E3"/>
    <w:rsid w:val="00535A2B"/>
    <w:rsid w:val="005360E2"/>
    <w:rsid w:val="005363D7"/>
    <w:rsid w:val="00593AAC"/>
    <w:rsid w:val="00597980"/>
    <w:rsid w:val="005C3EEC"/>
    <w:rsid w:val="005C6171"/>
    <w:rsid w:val="005D7F4F"/>
    <w:rsid w:val="005E1FD1"/>
    <w:rsid w:val="00602401"/>
    <w:rsid w:val="006359D1"/>
    <w:rsid w:val="00643160"/>
    <w:rsid w:val="006459AA"/>
    <w:rsid w:val="00657CEF"/>
    <w:rsid w:val="0066579E"/>
    <w:rsid w:val="0067157B"/>
    <w:rsid w:val="0067159B"/>
    <w:rsid w:val="006770E9"/>
    <w:rsid w:val="00687130"/>
    <w:rsid w:val="006A19DB"/>
    <w:rsid w:val="006A3EED"/>
    <w:rsid w:val="006D2CC2"/>
    <w:rsid w:val="006D4C80"/>
    <w:rsid w:val="006E4BA2"/>
    <w:rsid w:val="006E7D34"/>
    <w:rsid w:val="007272CF"/>
    <w:rsid w:val="00730BA7"/>
    <w:rsid w:val="007311B4"/>
    <w:rsid w:val="00771F9B"/>
    <w:rsid w:val="00774F51"/>
    <w:rsid w:val="007977C2"/>
    <w:rsid w:val="007B4000"/>
    <w:rsid w:val="007E3D94"/>
    <w:rsid w:val="0080269A"/>
    <w:rsid w:val="0081407F"/>
    <w:rsid w:val="00820A56"/>
    <w:rsid w:val="00835973"/>
    <w:rsid w:val="0083780F"/>
    <w:rsid w:val="00851057"/>
    <w:rsid w:val="00853854"/>
    <w:rsid w:val="0085767B"/>
    <w:rsid w:val="00874C81"/>
    <w:rsid w:val="008829EA"/>
    <w:rsid w:val="008966C5"/>
    <w:rsid w:val="00896A6E"/>
    <w:rsid w:val="008B056F"/>
    <w:rsid w:val="008B213A"/>
    <w:rsid w:val="008B6FF2"/>
    <w:rsid w:val="008D4207"/>
    <w:rsid w:val="008E4BDE"/>
    <w:rsid w:val="008F389C"/>
    <w:rsid w:val="009132DF"/>
    <w:rsid w:val="0091494B"/>
    <w:rsid w:val="009169D6"/>
    <w:rsid w:val="00924461"/>
    <w:rsid w:val="00925D10"/>
    <w:rsid w:val="009269C4"/>
    <w:rsid w:val="00934D9A"/>
    <w:rsid w:val="00941603"/>
    <w:rsid w:val="00941987"/>
    <w:rsid w:val="0094298A"/>
    <w:rsid w:val="00944698"/>
    <w:rsid w:val="00956A63"/>
    <w:rsid w:val="00972F2B"/>
    <w:rsid w:val="009856C6"/>
    <w:rsid w:val="009922DD"/>
    <w:rsid w:val="009A298B"/>
    <w:rsid w:val="009A5F2D"/>
    <w:rsid w:val="009C57DA"/>
    <w:rsid w:val="009E5518"/>
    <w:rsid w:val="00A15E4F"/>
    <w:rsid w:val="00A37E78"/>
    <w:rsid w:val="00A43B46"/>
    <w:rsid w:val="00A537F0"/>
    <w:rsid w:val="00A5553F"/>
    <w:rsid w:val="00A603CE"/>
    <w:rsid w:val="00AA0662"/>
    <w:rsid w:val="00AB3560"/>
    <w:rsid w:val="00AC19E9"/>
    <w:rsid w:val="00AC4B40"/>
    <w:rsid w:val="00AF05DD"/>
    <w:rsid w:val="00AF228E"/>
    <w:rsid w:val="00B14623"/>
    <w:rsid w:val="00B15F4A"/>
    <w:rsid w:val="00B30FFC"/>
    <w:rsid w:val="00B5319E"/>
    <w:rsid w:val="00B53558"/>
    <w:rsid w:val="00B64344"/>
    <w:rsid w:val="00B71114"/>
    <w:rsid w:val="00B72DB1"/>
    <w:rsid w:val="00BA1FE3"/>
    <w:rsid w:val="00BD4798"/>
    <w:rsid w:val="00BF05D7"/>
    <w:rsid w:val="00BF4734"/>
    <w:rsid w:val="00C04A78"/>
    <w:rsid w:val="00C17F02"/>
    <w:rsid w:val="00C40592"/>
    <w:rsid w:val="00C5456A"/>
    <w:rsid w:val="00C64A2C"/>
    <w:rsid w:val="00C80655"/>
    <w:rsid w:val="00C90660"/>
    <w:rsid w:val="00C93B95"/>
    <w:rsid w:val="00CD2FDA"/>
    <w:rsid w:val="00CD5E17"/>
    <w:rsid w:val="00D4014C"/>
    <w:rsid w:val="00D42DDC"/>
    <w:rsid w:val="00D44DF2"/>
    <w:rsid w:val="00D46FA8"/>
    <w:rsid w:val="00D85563"/>
    <w:rsid w:val="00D92CF0"/>
    <w:rsid w:val="00DA21DB"/>
    <w:rsid w:val="00DD7209"/>
    <w:rsid w:val="00E15F22"/>
    <w:rsid w:val="00E71A65"/>
    <w:rsid w:val="00E76C0A"/>
    <w:rsid w:val="00E9662D"/>
    <w:rsid w:val="00EC6EE2"/>
    <w:rsid w:val="00ED1BB5"/>
    <w:rsid w:val="00EE5B8F"/>
    <w:rsid w:val="00EE75F9"/>
    <w:rsid w:val="00EF1FE3"/>
    <w:rsid w:val="00EF50FF"/>
    <w:rsid w:val="00F12EF4"/>
    <w:rsid w:val="00F14A65"/>
    <w:rsid w:val="00F16007"/>
    <w:rsid w:val="00F2793F"/>
    <w:rsid w:val="00F4326A"/>
    <w:rsid w:val="00F45B19"/>
    <w:rsid w:val="00F4694D"/>
    <w:rsid w:val="00F54166"/>
    <w:rsid w:val="00F5459B"/>
    <w:rsid w:val="00F66E21"/>
    <w:rsid w:val="00F844F6"/>
    <w:rsid w:val="00FA3E33"/>
    <w:rsid w:val="00FA46CD"/>
    <w:rsid w:val="00FB20E9"/>
    <w:rsid w:val="00FC18DD"/>
    <w:rsid w:val="00FD78D2"/>
    <w:rsid w:val="00FF1B94"/>
    <w:rsid w:val="00FF68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C1"/>
    <w:pPr>
      <w:ind w:left="720"/>
      <w:contextualSpacing/>
    </w:pPr>
  </w:style>
  <w:style w:type="character" w:styleId="Hyperlink">
    <w:name w:val="Hyperlink"/>
    <w:basedOn w:val="DefaultParagraphFont"/>
    <w:uiPriority w:val="99"/>
    <w:unhideWhenUsed/>
    <w:rsid w:val="008B213A"/>
    <w:rPr>
      <w:color w:val="0000FF" w:themeColor="hyperlink"/>
      <w:u w:val="single"/>
    </w:rPr>
  </w:style>
  <w:style w:type="paragraph" w:styleId="FootnoteText">
    <w:name w:val="footnote text"/>
    <w:basedOn w:val="Normal"/>
    <w:link w:val="FootnoteTextChar"/>
    <w:uiPriority w:val="99"/>
    <w:unhideWhenUsed/>
    <w:rsid w:val="0006360D"/>
  </w:style>
  <w:style w:type="character" w:customStyle="1" w:styleId="FootnoteTextChar">
    <w:name w:val="Footnote Text Char"/>
    <w:basedOn w:val="DefaultParagraphFont"/>
    <w:link w:val="FootnoteText"/>
    <w:uiPriority w:val="99"/>
    <w:rsid w:val="0006360D"/>
  </w:style>
  <w:style w:type="character" w:styleId="FootnoteReference">
    <w:name w:val="footnote reference"/>
    <w:basedOn w:val="DefaultParagraphFont"/>
    <w:uiPriority w:val="99"/>
    <w:unhideWhenUsed/>
    <w:rsid w:val="0006360D"/>
    <w:rPr>
      <w:vertAlign w:val="superscript"/>
    </w:rPr>
  </w:style>
  <w:style w:type="character" w:styleId="FollowedHyperlink">
    <w:name w:val="FollowedHyperlink"/>
    <w:basedOn w:val="DefaultParagraphFont"/>
    <w:uiPriority w:val="99"/>
    <w:semiHidden/>
    <w:unhideWhenUsed/>
    <w:rsid w:val="0006360D"/>
    <w:rPr>
      <w:color w:val="800080" w:themeColor="followedHyperlink"/>
      <w:u w:val="single"/>
    </w:rPr>
  </w:style>
  <w:style w:type="table" w:styleId="TableGrid">
    <w:name w:val="Table Grid"/>
    <w:basedOn w:val="TableNormal"/>
    <w:uiPriority w:val="59"/>
    <w:rsid w:val="00277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459B"/>
    <w:pPr>
      <w:tabs>
        <w:tab w:val="center" w:pos="4320"/>
        <w:tab w:val="right" w:pos="8640"/>
      </w:tabs>
    </w:pPr>
  </w:style>
  <w:style w:type="character" w:customStyle="1" w:styleId="HeaderChar">
    <w:name w:val="Header Char"/>
    <w:basedOn w:val="DefaultParagraphFont"/>
    <w:link w:val="Header"/>
    <w:uiPriority w:val="99"/>
    <w:rsid w:val="00F5459B"/>
  </w:style>
  <w:style w:type="paragraph" w:styleId="Footer">
    <w:name w:val="footer"/>
    <w:basedOn w:val="Normal"/>
    <w:link w:val="FooterChar"/>
    <w:uiPriority w:val="99"/>
    <w:unhideWhenUsed/>
    <w:rsid w:val="00F5459B"/>
    <w:pPr>
      <w:tabs>
        <w:tab w:val="center" w:pos="4320"/>
        <w:tab w:val="right" w:pos="8640"/>
      </w:tabs>
    </w:pPr>
  </w:style>
  <w:style w:type="character" w:customStyle="1" w:styleId="FooterChar">
    <w:name w:val="Footer Char"/>
    <w:basedOn w:val="DefaultParagraphFont"/>
    <w:link w:val="Footer"/>
    <w:uiPriority w:val="99"/>
    <w:rsid w:val="00F5459B"/>
  </w:style>
  <w:style w:type="paragraph" w:styleId="BalloonText">
    <w:name w:val="Balloon Text"/>
    <w:basedOn w:val="Normal"/>
    <w:link w:val="BalloonTextChar"/>
    <w:uiPriority w:val="99"/>
    <w:semiHidden/>
    <w:unhideWhenUsed/>
    <w:rsid w:val="00275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8BE"/>
    <w:rPr>
      <w:rFonts w:ascii="Lucida Grande" w:hAnsi="Lucida Grande" w:cs="Lucida Grande"/>
      <w:sz w:val="18"/>
      <w:szCs w:val="18"/>
    </w:rPr>
  </w:style>
  <w:style w:type="character" w:styleId="PageNumber">
    <w:name w:val="page number"/>
    <w:basedOn w:val="DefaultParagraphFont"/>
    <w:uiPriority w:val="99"/>
    <w:semiHidden/>
    <w:unhideWhenUsed/>
    <w:rsid w:val="002907A7"/>
  </w:style>
  <w:style w:type="character" w:styleId="CommentReference">
    <w:name w:val="annotation reference"/>
    <w:basedOn w:val="DefaultParagraphFont"/>
    <w:uiPriority w:val="99"/>
    <w:semiHidden/>
    <w:unhideWhenUsed/>
    <w:rsid w:val="001A2FE0"/>
    <w:rPr>
      <w:sz w:val="16"/>
      <w:szCs w:val="16"/>
    </w:rPr>
  </w:style>
  <w:style w:type="paragraph" w:styleId="CommentText">
    <w:name w:val="annotation text"/>
    <w:basedOn w:val="Normal"/>
    <w:link w:val="CommentTextChar"/>
    <w:uiPriority w:val="99"/>
    <w:semiHidden/>
    <w:unhideWhenUsed/>
    <w:rsid w:val="001A2FE0"/>
    <w:rPr>
      <w:sz w:val="20"/>
      <w:szCs w:val="20"/>
    </w:rPr>
  </w:style>
  <w:style w:type="character" w:customStyle="1" w:styleId="CommentTextChar">
    <w:name w:val="Comment Text Char"/>
    <w:basedOn w:val="DefaultParagraphFont"/>
    <w:link w:val="CommentText"/>
    <w:uiPriority w:val="99"/>
    <w:semiHidden/>
    <w:rsid w:val="001A2FE0"/>
    <w:rPr>
      <w:sz w:val="20"/>
      <w:szCs w:val="20"/>
    </w:rPr>
  </w:style>
  <w:style w:type="paragraph" w:styleId="CommentSubject">
    <w:name w:val="annotation subject"/>
    <w:basedOn w:val="CommentText"/>
    <w:next w:val="CommentText"/>
    <w:link w:val="CommentSubjectChar"/>
    <w:uiPriority w:val="99"/>
    <w:semiHidden/>
    <w:unhideWhenUsed/>
    <w:rsid w:val="001A2FE0"/>
    <w:rPr>
      <w:b/>
      <w:bCs/>
    </w:rPr>
  </w:style>
  <w:style w:type="character" w:customStyle="1" w:styleId="CommentSubjectChar">
    <w:name w:val="Comment Subject Char"/>
    <w:basedOn w:val="CommentTextChar"/>
    <w:link w:val="CommentSubject"/>
    <w:uiPriority w:val="99"/>
    <w:semiHidden/>
    <w:rsid w:val="001A2FE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C1"/>
    <w:pPr>
      <w:ind w:left="720"/>
      <w:contextualSpacing/>
    </w:pPr>
  </w:style>
  <w:style w:type="character" w:styleId="Hyperlink">
    <w:name w:val="Hyperlink"/>
    <w:basedOn w:val="DefaultParagraphFont"/>
    <w:uiPriority w:val="99"/>
    <w:unhideWhenUsed/>
    <w:rsid w:val="008B213A"/>
    <w:rPr>
      <w:color w:val="0000FF" w:themeColor="hyperlink"/>
      <w:u w:val="single"/>
    </w:rPr>
  </w:style>
  <w:style w:type="paragraph" w:styleId="FootnoteText">
    <w:name w:val="footnote text"/>
    <w:basedOn w:val="Normal"/>
    <w:link w:val="FootnoteTextChar"/>
    <w:uiPriority w:val="99"/>
    <w:unhideWhenUsed/>
    <w:rsid w:val="0006360D"/>
  </w:style>
  <w:style w:type="character" w:customStyle="1" w:styleId="FootnoteTextChar">
    <w:name w:val="Footnote Text Char"/>
    <w:basedOn w:val="DefaultParagraphFont"/>
    <w:link w:val="FootnoteText"/>
    <w:uiPriority w:val="99"/>
    <w:rsid w:val="0006360D"/>
  </w:style>
  <w:style w:type="character" w:styleId="FootnoteReference">
    <w:name w:val="footnote reference"/>
    <w:basedOn w:val="DefaultParagraphFont"/>
    <w:uiPriority w:val="99"/>
    <w:unhideWhenUsed/>
    <w:rsid w:val="0006360D"/>
    <w:rPr>
      <w:vertAlign w:val="superscript"/>
    </w:rPr>
  </w:style>
  <w:style w:type="character" w:styleId="FollowedHyperlink">
    <w:name w:val="FollowedHyperlink"/>
    <w:basedOn w:val="DefaultParagraphFont"/>
    <w:uiPriority w:val="99"/>
    <w:semiHidden/>
    <w:unhideWhenUsed/>
    <w:rsid w:val="0006360D"/>
    <w:rPr>
      <w:color w:val="800080" w:themeColor="followedHyperlink"/>
      <w:u w:val="single"/>
    </w:rPr>
  </w:style>
  <w:style w:type="table" w:styleId="TableGrid">
    <w:name w:val="Table Grid"/>
    <w:basedOn w:val="TableNormal"/>
    <w:uiPriority w:val="59"/>
    <w:rsid w:val="00277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459B"/>
    <w:pPr>
      <w:tabs>
        <w:tab w:val="center" w:pos="4320"/>
        <w:tab w:val="right" w:pos="8640"/>
      </w:tabs>
    </w:pPr>
  </w:style>
  <w:style w:type="character" w:customStyle="1" w:styleId="HeaderChar">
    <w:name w:val="Header Char"/>
    <w:basedOn w:val="DefaultParagraphFont"/>
    <w:link w:val="Header"/>
    <w:uiPriority w:val="99"/>
    <w:rsid w:val="00F5459B"/>
  </w:style>
  <w:style w:type="paragraph" w:styleId="Footer">
    <w:name w:val="footer"/>
    <w:basedOn w:val="Normal"/>
    <w:link w:val="FooterChar"/>
    <w:uiPriority w:val="99"/>
    <w:unhideWhenUsed/>
    <w:rsid w:val="00F5459B"/>
    <w:pPr>
      <w:tabs>
        <w:tab w:val="center" w:pos="4320"/>
        <w:tab w:val="right" w:pos="8640"/>
      </w:tabs>
    </w:pPr>
  </w:style>
  <w:style w:type="character" w:customStyle="1" w:styleId="FooterChar">
    <w:name w:val="Footer Char"/>
    <w:basedOn w:val="DefaultParagraphFont"/>
    <w:link w:val="Footer"/>
    <w:uiPriority w:val="99"/>
    <w:rsid w:val="00F5459B"/>
  </w:style>
  <w:style w:type="paragraph" w:styleId="BalloonText">
    <w:name w:val="Balloon Text"/>
    <w:basedOn w:val="Normal"/>
    <w:link w:val="BalloonTextChar"/>
    <w:uiPriority w:val="99"/>
    <w:semiHidden/>
    <w:unhideWhenUsed/>
    <w:rsid w:val="00275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8BE"/>
    <w:rPr>
      <w:rFonts w:ascii="Lucida Grande" w:hAnsi="Lucida Grande" w:cs="Lucida Grande"/>
      <w:sz w:val="18"/>
      <w:szCs w:val="18"/>
    </w:rPr>
  </w:style>
  <w:style w:type="character" w:styleId="PageNumber">
    <w:name w:val="page number"/>
    <w:basedOn w:val="DefaultParagraphFont"/>
    <w:uiPriority w:val="99"/>
    <w:semiHidden/>
    <w:unhideWhenUsed/>
    <w:rsid w:val="002907A7"/>
  </w:style>
  <w:style w:type="character" w:styleId="CommentReference">
    <w:name w:val="annotation reference"/>
    <w:basedOn w:val="DefaultParagraphFont"/>
    <w:uiPriority w:val="99"/>
    <w:semiHidden/>
    <w:unhideWhenUsed/>
    <w:rsid w:val="001A2FE0"/>
    <w:rPr>
      <w:sz w:val="16"/>
      <w:szCs w:val="16"/>
    </w:rPr>
  </w:style>
  <w:style w:type="paragraph" w:styleId="CommentText">
    <w:name w:val="annotation text"/>
    <w:basedOn w:val="Normal"/>
    <w:link w:val="CommentTextChar"/>
    <w:uiPriority w:val="99"/>
    <w:semiHidden/>
    <w:unhideWhenUsed/>
    <w:rsid w:val="001A2FE0"/>
    <w:rPr>
      <w:sz w:val="20"/>
      <w:szCs w:val="20"/>
    </w:rPr>
  </w:style>
  <w:style w:type="character" w:customStyle="1" w:styleId="CommentTextChar">
    <w:name w:val="Comment Text Char"/>
    <w:basedOn w:val="DefaultParagraphFont"/>
    <w:link w:val="CommentText"/>
    <w:uiPriority w:val="99"/>
    <w:semiHidden/>
    <w:rsid w:val="001A2FE0"/>
    <w:rPr>
      <w:sz w:val="20"/>
      <w:szCs w:val="20"/>
    </w:rPr>
  </w:style>
  <w:style w:type="paragraph" w:styleId="CommentSubject">
    <w:name w:val="annotation subject"/>
    <w:basedOn w:val="CommentText"/>
    <w:next w:val="CommentText"/>
    <w:link w:val="CommentSubjectChar"/>
    <w:uiPriority w:val="99"/>
    <w:semiHidden/>
    <w:unhideWhenUsed/>
    <w:rsid w:val="001A2FE0"/>
    <w:rPr>
      <w:b/>
      <w:bCs/>
    </w:rPr>
  </w:style>
  <w:style w:type="character" w:customStyle="1" w:styleId="CommentSubjectChar">
    <w:name w:val="Comment Subject Char"/>
    <w:basedOn w:val="CommentTextChar"/>
    <w:link w:val="CommentSubject"/>
    <w:uiPriority w:val="99"/>
    <w:semiHidden/>
    <w:rsid w:val="001A2FE0"/>
    <w:rPr>
      <w:b/>
      <w:bCs/>
      <w:sz w:val="20"/>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cotland.gov.uk/communitylearninganddevelopment/about/strategicguidance/aim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scotland.gov.uk/communitylearninganddevelopment/adultlearning/communitybasedadultlearning/statementofambition.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cotland.gov.uk/thecurriculum/whatiscurriculumforexcellence/" TargetMode="External"/><Relationship Id="rId5" Type="http://schemas.openxmlformats.org/officeDocument/2006/relationships/footnotes" Target="footnotes.xml"/><Relationship Id="rId10" Type="http://schemas.openxmlformats.org/officeDocument/2006/relationships/hyperlink" Target="http://www.educationscotland.gov.uk/communitylearninganddevelopment/adultlearning/ESOL/policy/strategy.asp" TargetMode="External"/><Relationship Id="rId4" Type="http://schemas.openxmlformats.org/officeDocument/2006/relationships/webSettings" Target="webSettings.xml"/><Relationship Id="rId9" Type="http://schemas.openxmlformats.org/officeDocument/2006/relationships/hyperlink" Target="http://www.scotland.gov.uk/Publications/2011/01/25121451/0"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educationscotland.gov.uk/communitylearninganddevelopment/about/strategicguidance/aims.asp" TargetMode="External"/><Relationship Id="rId2" Type="http://schemas.openxmlformats.org/officeDocument/2006/relationships/hyperlink" Target="http://www.educationscotland.gov.uk/communitylearninganddevelopment/adultlearning/communitybasedadultlearning/statementofambition.asp" TargetMode="External"/><Relationship Id="rId1" Type="http://schemas.openxmlformats.org/officeDocument/2006/relationships/hyperlink" Target="http://www.scotland.gov.uk/Publications/2014/11/6336/downloads" TargetMode="External"/><Relationship Id="rId6" Type="http://schemas.openxmlformats.org/officeDocument/2006/relationships/hyperlink" Target="http://www.educationscotland.gov.uk/thecurriculum/whatiscurriculumforexcellence/" TargetMode="External"/><Relationship Id="rId5" Type="http://schemas.openxmlformats.org/officeDocument/2006/relationships/hyperlink" Target="http://www.educationscotland.gov.uk/communitylearninganddevelopment/adultlearning/ESOL/policy/strategy.asp" TargetMode="External"/><Relationship Id="rId4" Type="http://schemas.openxmlformats.org/officeDocument/2006/relationships/hyperlink" Target="http://www.scotland.gov.uk/Publications/2011/01/251214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Sellers</dc:creator>
  <cp:lastModifiedBy>JHowie</cp:lastModifiedBy>
  <cp:revision>3</cp:revision>
  <dcterms:created xsi:type="dcterms:W3CDTF">2015-08-20T14:38:00Z</dcterms:created>
  <dcterms:modified xsi:type="dcterms:W3CDTF">2015-08-20T14:38:00Z</dcterms:modified>
</cp:coreProperties>
</file>