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5B90EC" wp14:paraId="50A6C2A6" wp14:textId="429AB246">
      <w:pPr>
        <w:pStyle w:val="Heading1"/>
        <w:spacing w:before="322" w:beforeAutospacing="off" w:after="322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Briefing Paper: Third Sector Adult Learning in Scotland</w:t>
      </w:r>
    </w:p>
    <w:p xmlns:wp14="http://schemas.microsoft.com/office/word/2010/wordml" w:rsidP="055B90EC" wp14:paraId="3EEC2AD6" wp14:textId="4B668A2E">
      <w:pPr>
        <w:pStyle w:val="Heading2"/>
        <w:spacing w:before="299" w:beforeAutospacing="off" w:after="299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Summary</w:t>
      </w:r>
    </w:p>
    <w:p xmlns:wp14="http://schemas.microsoft.com/office/word/2010/wordml" w:rsidP="055B90EC" wp14:paraId="681459C8" wp14:textId="591BBABB">
      <w:p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02AAF439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Adult learning is </w:t>
      </w:r>
      <w:r w:rsidRPr="055B90EC" w:rsidR="02AAF439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vital to reducing inequality, strengthening communities, and supporting lifelong wellbeing</w:t>
      </w:r>
      <w:r w:rsidRPr="055B90EC" w:rsidR="02AAF439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. Scotland’s third sector delivers this impact every day.</w:t>
      </w:r>
    </w:p>
    <w:p xmlns:wp14="http://schemas.microsoft.com/office/word/2010/wordml" w:rsidP="055B90EC" wp14:paraId="1C86DC63" wp14:textId="36519347">
      <w:p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02AAF439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However, without </w:t>
      </w:r>
      <w:r w:rsidRPr="055B90EC" w:rsidR="02AAF439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secure funding, coherent leadership, and genuine partnership</w:t>
      </w:r>
      <w:r w:rsidRPr="055B90EC" w:rsidR="02AAF439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, its capacity to continue doing so is at risk.</w:t>
      </w:r>
    </w:p>
    <w:p xmlns:wp14="http://schemas.microsoft.com/office/word/2010/wordml" w:rsidP="055B90EC" wp14:paraId="386C6F5A" wp14:textId="5DA61A75">
      <w:p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02AAF439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Investing in third sector adult learning is investing in Scotland’s people, communities, and future.</w:t>
      </w:r>
    </w:p>
    <w:p xmlns:wp14="http://schemas.microsoft.com/office/word/2010/wordml" w:rsidP="055B90EC" wp14:paraId="006391DC" wp14:textId="31D48E31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Third sector organisations delivering adult learning across Scotland are calling on the Scottish Government to:</w:t>
      </w:r>
    </w:p>
    <w:p xmlns:wp14="http://schemas.microsoft.com/office/word/2010/wordml" w:rsidP="055B90EC" wp14:paraId="5BA2E4BE" wp14:textId="50EDA13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Provide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multi-year, core funding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to enable sustainable planning and delivery.</w:t>
      </w:r>
    </w:p>
    <w:p xmlns:wp14="http://schemas.microsoft.com/office/word/2010/wordml" w:rsidP="055B90EC" wp14:paraId="2C591B22" wp14:textId="67DD8D3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Establish a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stronger national vision and leadership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for adult learning beyond employability outcomes.</w:t>
      </w:r>
    </w:p>
    <w:p xmlns:wp14="http://schemas.microsoft.com/office/word/2010/wordml" w:rsidP="055B90EC" wp14:paraId="1A9AC2C8" wp14:textId="6CA052E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Recognise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that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adult learning transforms lives and combats inequality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— but only if it is properly supported, valued, and integrated into national policy.</w:t>
      </w:r>
    </w:p>
    <w:p xmlns:wp14="http://schemas.microsoft.com/office/word/2010/wordml" w:rsidP="055B90EC" wp14:paraId="2E61C229" wp14:textId="5D3DC5E3">
      <w:pPr>
        <w:pStyle w:val="Normal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055B90EC" wp14:paraId="2CC33810" wp14:textId="537D64A0">
      <w:pPr>
        <w:pStyle w:val="Normal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055B90EC" wp14:paraId="677FDEC2" wp14:textId="6511BD1D">
      <w:pPr>
        <w:pStyle w:val="Normal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055B90EC" wp14:paraId="5D423662" wp14:textId="0DA90A5D">
      <w:pPr>
        <w:pStyle w:val="Normal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055B90EC" wp14:paraId="3C7C69B9" wp14:textId="0E12B28C">
      <w:pPr>
        <w:pStyle w:val="Heading2"/>
        <w:numPr>
          <w:ilvl w:val="0"/>
          <w:numId w:val="14"/>
        </w:numPr>
        <w:spacing w:before="299" w:beforeAutospacing="off" w:after="299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The Impact and Benefits of Adult Learning</w:t>
      </w:r>
    </w:p>
    <w:p xmlns:wp14="http://schemas.microsoft.com/office/word/2010/wordml" w:rsidP="055B90EC" wp14:paraId="4C553C0B" wp14:textId="6FDCF799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Adult learning is a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transformational process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that benefits individuals and communities alike. Beyond knowledge and skills acquisition, participation in adult learning has measurable impacts on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health, wellbeing, community cohesion, and civic engagement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055B90EC" wp14:paraId="498C0D7A" wp14:textId="42DDA0A8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The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 xml:space="preserve">Scottish Government’s publication </w:t>
      </w:r>
      <w:r w:rsidRPr="055B90EC" w:rsidR="6138590A">
        <w:rPr>
          <w:rFonts w:ascii="Arial Nova" w:hAnsi="Arial Nova" w:eastAsia="Arial Nova" w:cs="Arial Nova"/>
          <w:b w:val="1"/>
          <w:bCs w:val="1"/>
          <w:i w:val="1"/>
          <w:iCs w:val="1"/>
          <w:noProof w:val="0"/>
          <w:color w:val="auto"/>
          <w:sz w:val="24"/>
          <w:szCs w:val="24"/>
          <w:lang w:val="en-US"/>
        </w:rPr>
        <w:t>Adult Lifetime Skills Literature Review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highlights that:</w:t>
      </w:r>
      <w:r w:rsidRPr="055B90EC" w:rsidR="0F3C40C5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55B90EC" wp14:paraId="777F9621" wp14:textId="156965C6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1D5FD99" w:rsidR="5ABFA91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“There are economic and social benefits of lifelong learning, as well as wellbeing benefits for the individual.”</w:t>
      </w:r>
      <w:r w:rsidRPr="71D5FD99">
        <w:rPr>
          <w:rStyle w:val="FootnoteReference"/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footnoteReference w:id="5927"/>
      </w:r>
    </w:p>
    <w:p xmlns:wp14="http://schemas.microsoft.com/office/word/2010/wordml" w:rsidP="055B90EC" wp14:paraId="132C3287" wp14:textId="207F9B56">
      <w:pPr>
        <w:pStyle w:val="Heading3"/>
        <w:spacing w:before="281" w:beforeAutospacing="off" w:after="281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Economic and Social Benefits</w:t>
      </w:r>
    </w:p>
    <w:p xmlns:wp14="http://schemas.microsoft.com/office/word/2010/wordml" w:rsidP="055B90EC" wp14:paraId="18D54A44" wp14:textId="067E455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Higher earnings and improved employment outcomes</w:t>
      </w:r>
    </w:p>
    <w:p xmlns:wp14="http://schemas.microsoft.com/office/word/2010/wordml" w:rsidP="055B90EC" wp14:paraId="542159FE" wp14:textId="7DAF38A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Increased self-confidence and social capital</w:t>
      </w:r>
    </w:p>
    <w:p xmlns:wp14="http://schemas.microsoft.com/office/word/2010/wordml" w:rsidP="055B90EC" wp14:paraId="4262AF1B" wp14:textId="49F7721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Improved health and social relationships</w:t>
      </w:r>
    </w:p>
    <w:p xmlns:wp14="http://schemas.microsoft.com/office/word/2010/wordml" w:rsidP="055B90EC" wp14:paraId="10EF8109" wp14:textId="01B7AA8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Greater likelihood of volunteering and community participation</w:t>
      </w:r>
    </w:p>
    <w:p xmlns:wp14="http://schemas.microsoft.com/office/word/2010/wordml" w:rsidP="055B90EC" wp14:paraId="7302CCB7" wp14:textId="55DEB9DD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Earlier research (2011) quantified these benefits to individuals as:</w:t>
      </w:r>
    </w:p>
    <w:p xmlns:wp14="http://schemas.microsoft.com/office/word/2010/wordml" w:rsidP="055B90EC" wp14:paraId="71527C22" wp14:textId="2D94D94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Health improvements: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£148</w:t>
      </w:r>
    </w:p>
    <w:p xmlns:wp14="http://schemas.microsoft.com/office/word/2010/wordml" w:rsidP="055B90EC" wp14:paraId="2A7668DA" wp14:textId="370C6F1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Job access and retention: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£231</w:t>
      </w:r>
    </w:p>
    <w:p xmlns:wp14="http://schemas.microsoft.com/office/word/2010/wordml" w:rsidP="055B90EC" wp14:paraId="547B5104" wp14:textId="0049BB8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Better social relationships: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£658</w:t>
      </w:r>
    </w:p>
    <w:p xmlns:wp14="http://schemas.microsoft.com/office/word/2010/wordml" w:rsidP="055B90EC" wp14:paraId="21F94E19" wp14:textId="44625A0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1D5FD99" w:rsidR="5ABFA910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Regular volunteering:</w:t>
      </w:r>
      <w:r w:rsidRPr="71D5FD99" w:rsidR="5ABFA91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£130</w:t>
      </w:r>
      <w:r w:rsidRPr="71D5FD99">
        <w:rPr>
          <w:rStyle w:val="FootnoteReference"/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footnoteReference w:id="4822"/>
      </w:r>
    </w:p>
    <w:p xmlns:wp14="http://schemas.microsoft.com/office/word/2010/wordml" w:rsidP="055B90EC" wp14:paraId="5ED1E0CD" wp14:textId="6604CB32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While these figures are outdated, the principle remains clear: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adult learning has a high social return on investment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and strengthens communities.</w:t>
      </w:r>
    </w:p>
    <w:p xmlns:wp14="http://schemas.microsoft.com/office/word/2010/wordml" w:rsidP="055B90EC" wp14:paraId="264B13A0" wp14:textId="1A1654F8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As John Field notes:</w:t>
      </w:r>
    </w:p>
    <w:p xmlns:wp14="http://schemas.microsoft.com/office/word/2010/wordml" w:rsidP="71D5FD99" wp14:paraId="066B1B37" wp14:textId="6F5B7094">
      <w:pPr>
        <w:pStyle w:val="Normal"/>
        <w:spacing w:before="240" w:beforeAutospacing="off" w:after="240" w:afterAutospacing="off"/>
        <w:rPr>
          <w:rStyle w:val="EndnoteReference"/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1D5FD99" w:rsidR="5ABFA91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“</w:t>
      </w:r>
      <w:r w:rsidRPr="71D5FD99" w:rsidR="5ABFA91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Any government that ignores this evidence </w:t>
      </w:r>
      <w:r w:rsidRPr="71D5FD99" w:rsidR="5ECA38DC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[the positive contribution adult learning makes] </w:t>
      </w:r>
      <w:r w:rsidRPr="71D5FD99" w:rsidR="5ABFA91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is open to serious criticism – particularly if it neglects this means of enhancing the well-being of vulnerable groups like the elderly, </w:t>
      </w:r>
      <w:r w:rsidRPr="71D5FD99" w:rsidR="5ABFA91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marginalised</w:t>
      </w:r>
      <w:r w:rsidRPr="71D5FD99" w:rsidR="5ABFA91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ethnic groups, </w:t>
      </w:r>
      <w:r w:rsidRPr="71D5FD99" w:rsidR="5ABFA91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stigmatised</w:t>
      </w:r>
      <w:r w:rsidRPr="71D5FD99" w:rsidR="5ABFA91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communities, people with learning disabilities, and those experiencing debt or addiction.</w:t>
      </w:r>
      <w:r w:rsidRPr="71D5FD99" w:rsidR="69F470B7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and </w:t>
      </w:r>
      <w:r w:rsidRPr="71D5FD99" w:rsidR="69F470B7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institutionalised</w:t>
      </w:r>
      <w:r w:rsidRPr="71D5FD99" w:rsidR="69F470B7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groups such as prisoners.</w:t>
      </w:r>
      <w:r w:rsidRPr="71D5FD99" w:rsidR="5ABFA91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”</w:t>
      </w:r>
      <w:r w:rsidRPr="71D5FD99">
        <w:rPr>
          <w:rStyle w:val="FootnoteReference"/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footnoteReference w:id="26513"/>
      </w:r>
    </w:p>
    <w:p xmlns:wp14="http://schemas.microsoft.com/office/word/2010/wordml" w:rsidP="055B90EC" wp14:paraId="55EEA3B3" wp14:textId="23B4E7AB">
      <w:pPr>
        <w:spacing w:before="240" w:beforeAutospacing="off" w:after="240" w:afterAutospacing="off"/>
      </w:pPr>
      <w:r w:rsidRPr="51579C89" w:rsidR="692C317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Adult learning also contributes to </w:t>
      </w:r>
      <w:r w:rsidRPr="51579C89" w:rsidR="692C3171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economic resilience and innovation</w:t>
      </w:r>
      <w:r w:rsidRPr="51579C89" w:rsidR="692C317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, enabling </w:t>
      </w:r>
      <w:r w:rsidRPr="51579C89" w:rsidR="692C317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individuals and communities to adapt to technological and societal </w:t>
      </w:r>
      <w:r w:rsidRPr="51579C89" w:rsidR="692C317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change.</w:t>
      </w:r>
      <w:r w:rsidRPr="51579C89">
        <w:rPr>
          <w:rStyle w:val="FootnoteReference"/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footnoteReference w:id="11081"/>
      </w:r>
    </w:p>
    <w:p w:rsidR="323D0020" w:rsidP="43A42A08" w:rsidRDefault="323D0020" w14:paraId="55EC4CFA" w14:textId="4E6BE52C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43A42A08" w:rsidR="323D0020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Community Based Adult Learning in Scotland</w:t>
      </w:r>
    </w:p>
    <w:p w:rsidR="323D0020" w:rsidP="43A42A08" w:rsidRDefault="323D0020" w14:paraId="3468FDA6" w14:textId="6FBD2B7F">
      <w:pPr>
        <w:pStyle w:val="Normal"/>
        <w:spacing w:before="240" w:beforeAutospacing="off" w:after="240" w:afterAutospacing="off"/>
        <w:ind w:left="0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E2D52C7" w:rsidR="323D002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Community </w:t>
      </w:r>
      <w:r w:rsidRPr="7E2D52C7" w:rsidR="5AF0992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b</w:t>
      </w:r>
      <w:r w:rsidRPr="7E2D52C7" w:rsidR="323D002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ased </w:t>
      </w:r>
      <w:r w:rsidRPr="7E2D52C7" w:rsidR="54CB3AE3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a</w:t>
      </w:r>
      <w:r w:rsidRPr="7E2D52C7" w:rsidR="323D002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dult </w:t>
      </w:r>
      <w:r w:rsidRPr="7E2D52C7" w:rsidR="28C7DB9B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l</w:t>
      </w:r>
      <w:r w:rsidRPr="7E2D52C7" w:rsidR="323D002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earning in Scotland </w:t>
      </w:r>
      <w:r w:rsidRPr="7E2D52C7" w:rsidR="11702B7B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t</w:t>
      </w:r>
      <w:r w:rsidRPr="7E2D52C7" w:rsidR="323D002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oday </w:t>
      </w:r>
      <w:r w:rsidRPr="7E2D52C7" w:rsidR="7336C005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faces many challenges</w:t>
      </w:r>
      <w:r w:rsidRPr="7E2D52C7" w:rsidR="62C1D20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, as outlined</w:t>
      </w:r>
      <w:r w:rsidRPr="7E2D52C7" w:rsidR="323D002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in</w:t>
      </w:r>
      <w:r w:rsidRPr="7E2D52C7" w:rsidR="1D13272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the following HMIE report from 2024:</w:t>
      </w:r>
    </w:p>
    <w:p w:rsidR="323D0020" w:rsidP="43A42A08" w:rsidRDefault="323D0020" w14:paraId="3296D471" w14:textId="212F9D10">
      <w:pPr>
        <w:ind w:left="360"/>
      </w:pPr>
      <w:r w:rsidRPr="7E2D52C7" w:rsidR="323D0020">
        <w:rPr>
          <w:rStyle w:val="normaltextrun"/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are significant challenges for C</w:t>
      </w:r>
      <w:r w:rsidRPr="7E2D52C7" w:rsidR="03321BD5">
        <w:rPr>
          <w:rStyle w:val="normaltextrun"/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ommunity </w:t>
      </w:r>
      <w:r w:rsidRPr="7E2D52C7" w:rsidR="323D0020">
        <w:rPr>
          <w:rStyle w:val="normaltextrun"/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</w:t>
      </w:r>
      <w:r w:rsidRPr="7E2D52C7" w:rsidR="73DF8AD0">
        <w:rPr>
          <w:rStyle w:val="normaltextrun"/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earning </w:t>
      </w:r>
      <w:r w:rsidRPr="7E2D52C7" w:rsidR="323D0020">
        <w:rPr>
          <w:rStyle w:val="normaltextrun"/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</w:t>
      </w:r>
      <w:r w:rsidRPr="7E2D52C7" w:rsidR="3E8E9B27">
        <w:rPr>
          <w:rStyle w:val="normaltextrun"/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evelopment</w:t>
      </w:r>
      <w:r w:rsidRPr="7E2D52C7" w:rsidR="323D0020">
        <w:rPr>
          <w:rStyle w:val="normaltextrun"/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providers in meeting the needs of learners and communities, particularly in community-based adult learning.</w:t>
      </w:r>
      <w:r w:rsidRPr="7E2D52C7" w:rsidR="323D0020">
        <w:rPr>
          <w:rStyle w:val="normaltextrun"/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Due to a mix of changing resources and increased targeting of provision, the range of community-based adult learning offered by local authority CLD services has narrowed. As a result, the needs of some individuals and communities are not being met.</w:t>
      </w:r>
      <w:r w:rsidRPr="7E2D52C7">
        <w:rPr>
          <w:rStyle w:val="FootnoteReference"/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footnoteReference w:id="2617"/>
      </w:r>
      <w:r w:rsidRPr="7E2D52C7" w:rsidR="323D0020">
        <w:rPr>
          <w:rStyle w:val="normaltextrun"/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43A42A08" w:rsidR="323D0020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5B90EC" wp14:paraId="6EAEA2D7" wp14:textId="47638AA2">
      <w:pPr>
        <w:pStyle w:val="Heading2"/>
        <w:numPr>
          <w:ilvl w:val="0"/>
          <w:numId w:val="14"/>
        </w:numPr>
        <w:spacing w:before="299" w:beforeAutospacing="off" w:after="299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Third Sector Adult Learning Perspective</w:t>
      </w:r>
    </w:p>
    <w:p xmlns:wp14="http://schemas.microsoft.com/office/word/2010/wordml" w:rsidP="055B90EC" wp14:paraId="52A5FC06" wp14:textId="7600153E">
      <w:pPr>
        <w:pStyle w:val="Heading3"/>
        <w:spacing w:before="281" w:beforeAutospacing="off" w:after="281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Overview</w:t>
      </w:r>
    </w:p>
    <w:p xmlns:wp14="http://schemas.microsoft.com/office/word/2010/wordml" w:rsidP="055B90EC" wp14:paraId="210A163A" wp14:textId="742FCE42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Third sector organisations delivering adult learning report </w:t>
      </w:r>
      <w:r w:rsidRPr="055B90EC" w:rsidR="7D789CEE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deep frustration</w:t>
      </w: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with funding insecurity, lack of strategic direction, and limited visibility within government policy. Despite proven success in tackling inequality and supporting wellbeing, the sector remains </w:t>
      </w:r>
      <w:r w:rsidRPr="055B90EC" w:rsidR="7D789CEE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undervalued and under-supported</w:t>
      </w: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055B90EC" wp14:paraId="62028DC5" wp14:textId="3F76B17D">
      <w:pPr>
        <w:pStyle w:val="Heading3"/>
        <w:spacing w:before="281" w:beforeAutospacing="off" w:after="281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Key Themes</w:t>
      </w:r>
    </w:p>
    <w:p xmlns:wp14="http://schemas.microsoft.com/office/word/2010/wordml" w:rsidP="055B90EC" wp14:paraId="5273792D" wp14:textId="1CC3BB11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43A42A08" w:rsidR="7D321C6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A</w:t>
      </w:r>
      <w:r w:rsidRPr="43A42A08" w:rsidR="43B2E543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. Funding Insecurity</w:t>
      </w:r>
    </w:p>
    <w:p xmlns:wp14="http://schemas.microsoft.com/office/word/2010/wordml" w:rsidP="055B90EC" wp14:paraId="0CD66C55" wp14:textId="1F30101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Reliance on one-year funding cycles prevents strategic planning, staff retention, and innovation.</w:t>
      </w:r>
    </w:p>
    <w:p xmlns:wp14="http://schemas.microsoft.com/office/word/2010/wordml" w:rsidP="055B90EC" wp14:paraId="765A7D1B" wp14:textId="0CE5D1E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The sector urgently needs </w:t>
      </w:r>
      <w:r w:rsidRPr="055B90EC" w:rsidR="7D789CEE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multi-year, flexible funding</w:t>
      </w: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that covers </w:t>
      </w:r>
      <w:r w:rsidRPr="055B90EC" w:rsidR="7D789CEE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core costs</w:t>
      </w: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055B90EC" wp14:paraId="2F4C4C27" wp14:textId="24FE5CC9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43A42A08" w:rsidR="1978E79C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B</w:t>
      </w:r>
      <w:r w:rsidRPr="43A42A08" w:rsidR="43B2E543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. Lack of Strategic Direction</w:t>
      </w:r>
    </w:p>
    <w:p xmlns:wp14="http://schemas.microsoft.com/office/word/2010/wordml" w:rsidP="055B90EC" wp14:paraId="72D5B485" wp14:textId="638A440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Absence of a clear national adult learning strategy following the dismissal of the Adult Learning Strategy.</w:t>
      </w:r>
    </w:p>
    <w:p xmlns:wp14="http://schemas.microsoft.com/office/word/2010/wordml" w:rsidP="055B90EC" wp14:paraId="16DB3748" wp14:textId="1C423D1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43A42A08" w:rsidR="43B2E543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The </w:t>
      </w:r>
      <w:r w:rsidRPr="43A42A08" w:rsidR="43B2E543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CLD Leadership Group</w:t>
      </w:r>
      <w:r w:rsidRPr="43A42A08" w:rsidR="43B2E543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is perceived as inaccessible and disconnected from third sector </w:t>
      </w:r>
      <w:r w:rsidRPr="43A42A08" w:rsidR="6C556E90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adult learning</w:t>
      </w:r>
      <w:r w:rsidRPr="43A42A08" w:rsidR="43B2E543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055B90EC" wp14:paraId="707ED1AC" wp14:textId="7E2507A2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43A42A08" w:rsidR="0663B3B4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C</w:t>
      </w:r>
      <w:r w:rsidRPr="43A42A08" w:rsidR="43B2E543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. Adult Learning Undervalued</w:t>
      </w:r>
    </w:p>
    <w:p xmlns:wp14="http://schemas.microsoft.com/office/word/2010/wordml" w:rsidP="055B90EC" wp14:paraId="62B730B7" wp14:textId="55F370E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Despite strong outcomes for adults facing poverty, disability, or exclusion, adult learning </w:t>
      </w: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remains</w:t>
      </w: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</w:t>
      </w: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marginalised</w:t>
      </w: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in policy discussions</w:t>
      </w:r>
      <w:r w:rsidRPr="055B90EC" w:rsidR="60B21365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055B90EC" wp14:paraId="598F8C6C" wp14:textId="2CBF95ED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43A42A08" w:rsidR="3F11E4FE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D</w:t>
      </w:r>
      <w:r w:rsidRPr="43A42A08" w:rsidR="43B2E543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. Staffing and Training Pressures</w:t>
      </w:r>
    </w:p>
    <w:p xmlns:wp14="http://schemas.microsoft.com/office/word/2010/wordml" w:rsidP="055B90EC" wp14:paraId="1DAFC606" wp14:textId="46B4699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Short-term funding limits staff development and fair pay.</w:t>
      </w:r>
    </w:p>
    <w:p xmlns:wp14="http://schemas.microsoft.com/office/word/2010/wordml" w:rsidP="055B90EC" wp14:paraId="04E2839C" wp14:textId="0DEA6FA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Organisations face high turnover and morale issues due to ongoing uncertainty.</w:t>
      </w:r>
    </w:p>
    <w:p xmlns:wp14="http://schemas.microsoft.com/office/word/2010/wordml" w:rsidP="055B90EC" wp14:paraId="779185F7" wp14:textId="4C3C0C39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43A42A08" w:rsidR="1CF1DC69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E</w:t>
      </w:r>
      <w:r w:rsidRPr="43A42A08" w:rsidR="43B2E543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. Siloed Government Systems</w:t>
      </w:r>
    </w:p>
    <w:p xmlns:wp14="http://schemas.microsoft.com/office/word/2010/wordml" w:rsidP="055B90EC" wp14:paraId="76FA9885" wp14:textId="7150997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Lack of coordination across directorates hinders access to relevant funding and partnership opportunities.</w:t>
      </w:r>
    </w:p>
    <w:p xmlns:wp14="http://schemas.microsoft.com/office/word/2010/wordml" w:rsidP="055B90EC" wp14:paraId="57E06F4C" wp14:textId="25497668">
      <w:p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43A42A08" w:rsidR="1B433206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F</w:t>
      </w:r>
      <w:r w:rsidRPr="43A42A08" w:rsidR="43B2E543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. Recognition of Impact</w:t>
      </w:r>
    </w:p>
    <w:p xmlns:wp14="http://schemas.microsoft.com/office/word/2010/wordml" w:rsidP="055B90EC" wp14:paraId="403B6200" wp14:textId="262AC14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The sector delivers proven </w:t>
      </w:r>
      <w:r w:rsidRPr="055B90EC" w:rsidR="7D789CEE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social, health, and economic returns</w:t>
      </w: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, but these are </w:t>
      </w:r>
      <w:r w:rsidRPr="055B90EC" w:rsidR="7D789CEE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not reflected in policy or investment priorities</w:t>
      </w:r>
      <w:r w:rsidRPr="055B90EC" w:rsidR="7D789CE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055B90EC" wp14:paraId="21A8789B" wp14:textId="51EB9B0E">
      <w:pPr>
        <w:pStyle w:val="Heading2"/>
        <w:numPr>
          <w:ilvl w:val="0"/>
          <w:numId w:val="14"/>
        </w:numPr>
        <w:spacing w:before="299" w:beforeAutospacing="off" w:after="299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 xml:space="preserve">The Role of Learning Link Scotland </w:t>
      </w:r>
    </w:p>
    <w:p xmlns:wp14="http://schemas.microsoft.com/office/word/2010/wordml" w:rsidP="055B90EC" wp14:paraId="31D7CB9D" wp14:textId="37273CA0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Learning Link Scotland (LLS)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was established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for and by third sector adult learning organisations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055B90EC" wp14:paraId="796F7AE4" wp14:textId="28508797">
      <w:pPr>
        <w:pStyle w:val="Heading3"/>
        <w:spacing w:before="281" w:beforeAutospacing="off" w:after="281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Our Mission</w:t>
      </w:r>
    </w:p>
    <w:p xmlns:wp14="http://schemas.microsoft.com/office/word/2010/wordml" w:rsidP="055B90EC" wp14:paraId="38322A06" wp14:textId="236DE112">
      <w:p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To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support, promote, represent, and develop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third sector adult learning in Scotland. Working with partners, we aim to:</w:t>
      </w:r>
    </w:p>
    <w:p xmlns:wp14="http://schemas.microsoft.com/office/word/2010/wordml" w:rsidP="055B90EC" wp14:paraId="569D655E" wp14:textId="7358F3B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Strengthen an independent and vibrant third sector adult learning movement.</w:t>
      </w:r>
    </w:p>
    <w:p xmlns:wp14="http://schemas.microsoft.com/office/word/2010/wordml" w:rsidP="055B90EC" wp14:paraId="29B6F4D0" wp14:textId="2E02E28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Enable the sector to fulfil its lifelong learning, social inclusion, and democratic roles.</w:t>
      </w:r>
    </w:p>
    <w:p xmlns:wp14="http://schemas.microsoft.com/office/word/2010/wordml" w:rsidP="055B90EC" wp14:paraId="0C4F564C" wp14:textId="7B7BC32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Ensure adult learning is central to national decision-making and service delivery.</w:t>
      </w:r>
    </w:p>
    <w:p xmlns:wp14="http://schemas.microsoft.com/office/word/2010/wordml" w:rsidP="055B90EC" wp14:paraId="4C11AAA7" wp14:textId="2A6D402A">
      <w:pPr>
        <w:pStyle w:val="Heading3"/>
        <w:spacing w:before="281" w:beforeAutospacing="off" w:after="281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Our Network</w:t>
      </w:r>
    </w:p>
    <w:p xmlns:wp14="http://schemas.microsoft.com/office/word/2010/wordml" w:rsidP="055B90EC" wp14:paraId="753D291B" wp14:textId="61AD34F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112 third sector member organisations</w:t>
      </w:r>
    </w:p>
    <w:p xmlns:wp14="http://schemas.microsoft.com/office/word/2010/wordml" w:rsidP="055B90EC" wp14:paraId="716A1D85" wp14:textId="72C066C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44 individual members</w:t>
      </w:r>
    </w:p>
    <w:p xmlns:wp14="http://schemas.microsoft.com/office/word/2010/wordml" w:rsidP="055B90EC" wp14:paraId="4A08D5F9" wp14:textId="5C14745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89 contact and partner organisations</w:t>
      </w:r>
    </w:p>
    <w:p xmlns:wp14="http://schemas.microsoft.com/office/word/2010/wordml" w:rsidP="055B90EC" wp14:paraId="2BF5DA21" wp14:textId="64189DB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226 individual partner contacts</w:t>
      </w:r>
    </w:p>
    <w:p xmlns:wp14="http://schemas.microsoft.com/office/word/2010/wordml" w:rsidP="055B90EC" wp14:paraId="477EFB1E" wp14:textId="2FF5C336">
      <w:pPr>
        <w:pStyle w:val="Heading3"/>
        <w:spacing w:before="281" w:beforeAutospacing="off" w:after="281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Examples of Member Organisations</w:t>
      </w:r>
    </w:p>
    <w:p w:rsidR="6138590A" w:rsidP="51579C89" w:rsidRDefault="6138590A" w14:paraId="61EBAE81" w14:textId="23C9A9A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51579C89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National:</w:t>
      </w:r>
      <w:r w:rsidRPr="51579C89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</w:t>
      </w:r>
    </w:p>
    <w:p w:rsidR="6138590A" w:rsidP="51579C89" w:rsidRDefault="6138590A" w14:paraId="66E5E4D4" w14:textId="10C108CF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E0E0E"/>
          <w:sz w:val="24"/>
          <w:szCs w:val="24"/>
          <w:lang w:val="en-US"/>
        </w:rPr>
      </w:pPr>
      <w:r w:rsidRPr="51579C89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Workers’ Educational Association</w:t>
      </w:r>
      <w:r w:rsidRPr="51579C89" w:rsidR="5D3E7ED9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– </w:t>
      </w:r>
      <w:r w:rsidRPr="51579C89" w:rsidR="786FD76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E0E0E"/>
          <w:sz w:val="24"/>
          <w:szCs w:val="24"/>
          <w:lang w:val="en-US"/>
        </w:rPr>
        <w:t>empower</w:t>
      </w:r>
      <w:r w:rsidRPr="51579C89" w:rsidR="5D3E7ED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E0E0E"/>
          <w:sz w:val="24"/>
          <w:szCs w:val="24"/>
          <w:lang w:val="en-US"/>
        </w:rPr>
        <w:t xml:space="preserve"> </w:t>
      </w:r>
      <w:r w:rsidRPr="51579C89" w:rsidR="786FD76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E0E0E"/>
          <w:sz w:val="24"/>
          <w:szCs w:val="24"/>
          <w:lang w:val="en-US"/>
        </w:rPr>
        <w:t>adults by bringing great teaching to local communities across England and Scotland, reaching tens of thousands of learners each year</w:t>
      </w:r>
      <w:r w:rsidRPr="51579C89" w:rsidR="786FD76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E0E0E"/>
          <w:sz w:val="24"/>
          <w:szCs w:val="24"/>
          <w:lang w:val="en-US"/>
        </w:rPr>
        <w:t xml:space="preserve">.  </w:t>
      </w:r>
    </w:p>
    <w:p w:rsidR="6138590A" w:rsidP="51579C89" w:rsidRDefault="6138590A" w14:paraId="354416E0" w14:textId="66D5F69E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579C89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Lead Scotland</w:t>
      </w:r>
      <w:r w:rsidRPr="51579C89" w:rsidR="1B6FA2A3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–</w:t>
      </w:r>
      <w:r w:rsidRPr="51579C89" w:rsidR="1B6FA2A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empowering disabled young people, </w:t>
      </w:r>
      <w:r w:rsidRPr="51579C89" w:rsidR="1B6FA2A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adults</w:t>
      </w:r>
      <w:r w:rsidRPr="51579C89" w:rsidR="1B6FA2A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carers to achieve their full potential through </w:t>
      </w:r>
      <w:r w:rsidRPr="51579C89" w:rsidR="1B6FA2A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personalised</w:t>
      </w:r>
      <w:r w:rsidRPr="51579C89" w:rsidR="1B6FA2A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learning, befriending, </w:t>
      </w:r>
      <w:r w:rsidRPr="51579C89" w:rsidR="1B6FA2A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advice</w:t>
      </w:r>
      <w:r w:rsidRPr="51579C89" w:rsidR="1B6FA2A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information.</w:t>
      </w:r>
    </w:p>
    <w:p xmlns:wp14="http://schemas.microsoft.com/office/word/2010/wordml" w:rsidP="055B90EC" wp14:paraId="3D47621B" wp14:textId="25D0054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Community-Based:</w:t>
      </w:r>
    </w:p>
    <w:p xmlns:wp14="http://schemas.microsoft.com/office/word/2010/wordml" w:rsidP="055B90EC" wp14:paraId="0D018592" wp14:textId="270A4A1D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i w:val="1"/>
          <w:iCs w:val="1"/>
          <w:noProof w:val="0"/>
          <w:color w:val="auto"/>
          <w:sz w:val="24"/>
          <w:szCs w:val="24"/>
          <w:lang w:val="en-US"/>
        </w:rPr>
        <w:t>Rosemount Lifelong Learning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– tackling poverty and social exclusion in North Glasgow</w:t>
      </w:r>
    </w:p>
    <w:p xmlns:wp14="http://schemas.microsoft.com/office/word/2010/wordml" w:rsidP="055B90EC" wp14:paraId="4CE85A79" wp14:textId="2DD7C980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i w:val="1"/>
          <w:iCs w:val="1"/>
          <w:noProof w:val="0"/>
          <w:color w:val="auto"/>
          <w:sz w:val="24"/>
          <w:szCs w:val="24"/>
          <w:lang w:val="en-US"/>
        </w:rPr>
        <w:t>Empower Women for Change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– empowering diverse minority women in Scotland</w:t>
      </w:r>
    </w:p>
    <w:p xmlns:wp14="http://schemas.microsoft.com/office/word/2010/wordml" w:rsidP="055B90EC" wp14:paraId="785E0D2C" wp14:textId="1103192B">
      <w:pPr>
        <w:pStyle w:val="ListParagraph"/>
        <w:numPr>
          <w:ilvl w:val="1"/>
          <w:numId w:val="6"/>
        </w:numPr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51579C89" w:rsidR="6138590A">
        <w:rPr>
          <w:rFonts w:ascii="Arial Nova" w:hAnsi="Arial Nova" w:eastAsia="Arial Nova" w:cs="Arial Nova"/>
          <w:i w:val="1"/>
          <w:iCs w:val="1"/>
          <w:noProof w:val="0"/>
          <w:color w:val="auto"/>
          <w:sz w:val="24"/>
          <w:szCs w:val="24"/>
          <w:lang w:val="en-US"/>
        </w:rPr>
        <w:t>Lairg and District Learning Centre</w:t>
      </w:r>
      <w:r w:rsidRPr="51579C89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– promoting local lifelong learning and climate engagement</w:t>
      </w:r>
    </w:p>
    <w:p w:rsidR="321A1195" w:rsidP="51579C89" w:rsidRDefault="321A1195" w14:paraId="3556E316" w14:textId="2F73BA83">
      <w:pPr>
        <w:pStyle w:val="Heading2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51579C89" w:rsidR="2D068494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Learning Link Scotland</w:t>
      </w:r>
      <w:r w:rsidRPr="51579C89" w:rsidR="2D068494">
        <w:rPr>
          <w:rFonts w:ascii="Arial Nova" w:hAnsi="Arial Nova" w:eastAsia="Arial Nova" w:cs="Arial Nova"/>
          <w:b w:val="0"/>
          <w:bCs w:val="0"/>
          <w:noProof w:val="0"/>
          <w:color w:val="auto"/>
          <w:sz w:val="24"/>
          <w:szCs w:val="24"/>
          <w:lang w:val="en-US"/>
        </w:rPr>
        <w:t xml:space="preserve"> has been consulting</w:t>
      </w:r>
      <w:r w:rsidRPr="51579C89" w:rsidR="2D068494">
        <w:rPr>
          <w:rFonts w:ascii="Arial Nova" w:hAnsi="Arial Nova" w:eastAsia="Arial Nova" w:cs="Arial Nova"/>
          <w:b w:val="0"/>
          <w:bCs w:val="0"/>
          <w:noProof w:val="0"/>
          <w:color w:val="auto"/>
          <w:sz w:val="24"/>
          <w:szCs w:val="24"/>
          <w:lang w:val="en-US"/>
        </w:rPr>
        <w:t xml:space="preserve"> members through National Network Meetings and individual consultations</w:t>
      </w:r>
      <w:r w:rsidRPr="51579C89">
        <w:rPr>
          <w:rStyle w:val="FootnoteReference"/>
          <w:rFonts w:ascii="Arial Nova" w:hAnsi="Arial Nova" w:eastAsia="Arial Nova" w:cs="Arial Nova"/>
          <w:b w:val="0"/>
          <w:bCs w:val="0"/>
          <w:noProof w:val="0"/>
          <w:color w:val="auto"/>
          <w:sz w:val="24"/>
          <w:szCs w:val="24"/>
          <w:lang w:val="en-US"/>
        </w:rPr>
        <w:footnoteReference w:id="20533"/>
      </w:r>
      <w:r w:rsidRPr="51579C89" w:rsidR="2D068494">
        <w:rPr>
          <w:rFonts w:ascii="Arial Nova" w:hAnsi="Arial Nova" w:eastAsia="Arial Nova" w:cs="Arial Nova"/>
          <w:b w:val="0"/>
          <w:bCs w:val="0"/>
          <w:noProof w:val="0"/>
          <w:color w:val="auto"/>
          <w:sz w:val="24"/>
          <w:szCs w:val="24"/>
          <w:lang w:val="en-US"/>
        </w:rPr>
        <w:t xml:space="preserve">. As a result of this </w:t>
      </w:r>
      <w:r w:rsidRPr="51579C89" w:rsidR="6FD37E51">
        <w:rPr>
          <w:rFonts w:ascii="Arial Nova" w:hAnsi="Arial Nova" w:eastAsia="Arial Nova" w:cs="Arial Nova"/>
          <w:b w:val="0"/>
          <w:bCs w:val="0"/>
          <w:noProof w:val="0"/>
          <w:color w:val="auto"/>
          <w:sz w:val="24"/>
          <w:szCs w:val="24"/>
          <w:lang w:val="en-US"/>
        </w:rPr>
        <w:t>research,</w:t>
      </w:r>
      <w:r w:rsidRPr="51579C89" w:rsidR="2D068494">
        <w:rPr>
          <w:rFonts w:ascii="Arial Nova" w:hAnsi="Arial Nova" w:eastAsia="Arial Nova" w:cs="Arial Nova"/>
          <w:b w:val="0"/>
          <w:bCs w:val="0"/>
          <w:noProof w:val="0"/>
          <w:color w:val="auto"/>
          <w:sz w:val="24"/>
          <w:szCs w:val="24"/>
          <w:lang w:val="en-US"/>
        </w:rPr>
        <w:t xml:space="preserve"> we have prepared the following</w:t>
      </w:r>
      <w:r w:rsidRPr="51579C89" w:rsidR="4B6B0973">
        <w:rPr>
          <w:rFonts w:ascii="Arial Nova" w:hAnsi="Arial Nova" w:eastAsia="Arial Nova" w:cs="Arial Nova"/>
          <w:b w:val="0"/>
          <w:bCs w:val="0"/>
          <w:noProof w:val="0"/>
          <w:color w:val="auto"/>
          <w:sz w:val="24"/>
          <w:szCs w:val="24"/>
          <w:lang w:val="en-US"/>
        </w:rPr>
        <w:t xml:space="preserve"> </w:t>
      </w:r>
      <w:r w:rsidRPr="7E2D52C7" w:rsidR="4B6B0973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 xml:space="preserve">a</w:t>
      </w:r>
      <w:r w:rsidRPr="7E2D52C7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sks</w:t>
      </w:r>
      <w:r w:rsidRPr="7E2D52C7" w:rsidR="7584EA03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 xml:space="preserve"> for </w:t>
      </w:r>
      <w:r w:rsidRPr="7E2D52C7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202</w:t>
      </w:r>
      <w:r w:rsidRPr="7E2D52C7" w:rsidR="6F7C8497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6</w:t>
      </w:r>
      <w:r w:rsidRPr="7E2D52C7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–203</w:t>
      </w:r>
      <w:r w:rsidRPr="7E2D52C7" w:rsidR="7B3F2851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1</w:t>
      </w:r>
      <w:r w:rsidRPr="7E2D52C7" w:rsidR="53CECDFF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:</w:t>
      </w:r>
    </w:p>
    <w:p xmlns:wp14="http://schemas.microsoft.com/office/word/2010/wordml" w:rsidP="43A42A08" wp14:paraId="779235F6" wp14:textId="6EC4CD4E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43A42A08" w:rsidR="692C3171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Multi-year, core funding</w:t>
      </w:r>
      <w:r w:rsidRPr="43A42A08" w:rsidR="692C317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to enable stability, planning, and innovation.</w:t>
      </w:r>
    </w:p>
    <w:p xmlns:wp14="http://schemas.microsoft.com/office/word/2010/wordml" w:rsidP="43A42A08" wp14:paraId="4AAC7FE7" wp14:textId="37F58E8F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43A42A08" w:rsidR="7B962313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C</w:t>
      </w:r>
      <w:r w:rsidRPr="43A42A08" w:rsidR="692C3171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lear national strateg</w:t>
      </w:r>
      <w:r w:rsidRPr="43A42A08" w:rsidR="16164122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ic direction</w:t>
      </w:r>
      <w:r w:rsidRPr="43A42A08" w:rsidR="692C317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and leadership for adult learning.</w:t>
      </w:r>
    </w:p>
    <w:p xmlns:wp14="http://schemas.microsoft.com/office/word/2010/wordml" w:rsidP="43A42A08" wp14:paraId="3C1C2BC6" wp14:textId="279121A8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43A42A08" w:rsidR="692C3171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Recognition of the third sector’s central role</w:t>
      </w:r>
      <w:r w:rsidRPr="43A42A08" w:rsidR="692C317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in lifelong learning, inclusion, and wellbeing.</w:t>
      </w:r>
    </w:p>
    <w:p xmlns:wp14="http://schemas.microsoft.com/office/word/2010/wordml" w:rsidP="43A42A08" wp14:paraId="3CFCD61D" wp14:textId="419801E9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43A42A08" w:rsidR="692C3171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Improved coordination</w:t>
      </w:r>
      <w:r w:rsidRPr="43A42A08" w:rsidR="692C317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between education, health, and community directorates.</w:t>
      </w:r>
    </w:p>
    <w:p xmlns:wp14="http://schemas.microsoft.com/office/word/2010/wordml" w:rsidP="43A42A08" wp14:paraId="6A28D9ED" wp14:textId="6931671C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43A42A08" w:rsidR="692C3171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Investment in staff training</w:t>
      </w:r>
      <w:r w:rsidRPr="43A42A08" w:rsidR="692C317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and professional development.</w:t>
      </w:r>
    </w:p>
    <w:p w:rsidR="43A42A08" w:rsidP="7E2D52C7" w:rsidRDefault="43A42A08" w14:paraId="67E74715" w14:textId="7ED9A06B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ind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7E2D52C7" w:rsidR="692C3171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Visibility and voice</w:t>
      </w:r>
      <w:r w:rsidRPr="7E2D52C7" w:rsidR="692C3171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 for adult learning in national policy frameworks</w:t>
      </w:r>
      <w:r w:rsidRPr="7E2D52C7" w:rsidR="30415F04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43A42A08" wp14:paraId="13EC8082" wp14:textId="75A6F326">
      <w:pPr>
        <w:pStyle w:val="Heading2"/>
        <w:numPr>
          <w:ilvl w:val="0"/>
          <w:numId w:val="14"/>
        </w:numPr>
        <w:bidi w:val="0"/>
        <w:spacing w:before="299" w:beforeAutospacing="off" w:after="299" w:afterAutospacing="off"/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</w:pPr>
      <w:r w:rsidRPr="43A42A08" w:rsidR="30415F04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In Summary</w:t>
      </w:r>
    </w:p>
    <w:p xmlns:wp14="http://schemas.microsoft.com/office/word/2010/wordml" w:rsidP="055B90EC" wp14:paraId="02421F75" wp14:textId="591BBABB">
      <w:p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Adult learning is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vital to reducing inequality, strengthening communities, and supporting lifelong wellbeing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. Scotland’s third sector delivers this impact every day.</w:t>
      </w:r>
    </w:p>
    <w:p xmlns:wp14="http://schemas.microsoft.com/office/word/2010/wordml" w:rsidP="055B90EC" wp14:paraId="1C23DE2F" wp14:textId="36519347">
      <w:p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However, without </w:t>
      </w:r>
      <w:r w:rsidRPr="055B90EC" w:rsidR="6138590A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en-US"/>
        </w:rPr>
        <w:t>secure funding, coherent leadership, and genuine partnership</w:t>
      </w:r>
      <w:r w:rsidRPr="055B90EC" w:rsidR="6138590A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, its capacity to continue doing so is at risk.</w:t>
      </w:r>
    </w:p>
    <w:p w:rsidR="51579C89" w:rsidP="51579C89" w:rsidRDefault="51579C89" w14:paraId="79F28DAA" w14:textId="42BAA828">
      <w:pPr>
        <w:bidi w:val="0"/>
        <w:spacing w:before="240" w:beforeAutospacing="off" w:after="24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43A42A08" w:rsidR="62BA3B98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Investing in third sector adult learning is investing in Scotland’s people, communities, and future.</w:t>
      </w:r>
    </w:p>
    <w:p w:rsidR="29C16F44" w:rsidP="51579C89" w:rsidRDefault="29C16F44" w14:paraId="305CBE09" w14:textId="41C9444D">
      <w:pPr>
        <w:bidi w:val="0"/>
        <w:spacing w:before="0" w:beforeAutospacing="off" w:after="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43A42A08" w:rsidR="31041E6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Jackie Howie</w:t>
      </w:r>
      <w:r w:rsidRPr="43A42A08" w:rsidR="658269B2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, </w:t>
      </w:r>
      <w:r w:rsidRPr="43A42A08" w:rsidR="31041E6E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>CEO</w:t>
      </w:r>
    </w:p>
    <w:p w:rsidR="43A42A08" w:rsidP="43A42A08" w:rsidRDefault="43A42A08" w14:paraId="44AB0E9B" w14:textId="610317C9">
      <w:pPr>
        <w:bidi w:val="0"/>
        <w:spacing w:before="0" w:beforeAutospacing="off" w:after="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</w:p>
    <w:p w:rsidR="29C16F44" w:rsidP="51579C89" w:rsidRDefault="29C16F44" w14:paraId="4C2E7305" w14:textId="2C7C05D8">
      <w:pPr>
        <w:bidi w:val="0"/>
        <w:spacing w:before="0" w:beforeAutospacing="off" w:after="0" w:afterAutospacing="off"/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</w:pPr>
      <w:r w:rsidRPr="51579C89" w:rsidR="29C16F44">
        <w:rPr>
          <w:rFonts w:ascii="Arial Nova" w:hAnsi="Arial Nova" w:eastAsia="Arial Nova" w:cs="Arial Nova"/>
          <w:noProof w:val="0"/>
          <w:color w:val="auto"/>
          <w:sz w:val="24"/>
          <w:szCs w:val="24"/>
          <w:lang w:val="en-US"/>
        </w:rPr>
        <w:t xml:space="preserve">Learning Link Scotland </w:t>
      </w:r>
    </w:p>
    <w:p w:rsidR="29C16F44" w:rsidP="51579C89" w:rsidRDefault="29C16F44" w14:paraId="253DC5BE" w14:textId="0FE7AC5C">
      <w:pPr>
        <w:bidi w:val="0"/>
        <w:spacing w:before="0" w:beforeAutospacing="off" w:after="0" w:afterAutospacing="off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</w:pPr>
      <w:r w:rsidRPr="51579C89" w:rsidR="29C16F44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 xml:space="preserve">Robertson House, </w:t>
      </w:r>
    </w:p>
    <w:p w:rsidR="29C16F44" w:rsidP="51579C89" w:rsidRDefault="29C16F44" w14:paraId="14F13373" w14:textId="077B3947">
      <w:pPr>
        <w:bidi w:val="0"/>
        <w:spacing w:before="0" w:beforeAutospacing="off" w:after="0" w:afterAutospacing="off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</w:pPr>
      <w:r w:rsidRPr="51579C89" w:rsidR="29C16F44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152 Bath Street, Glasgow G2 4TB</w:t>
      </w:r>
    </w:p>
    <w:p w:rsidR="51579C89" w:rsidP="43A42A08" w:rsidRDefault="51579C89" w14:paraId="2AB20E9D" w14:textId="0A47765A">
      <w:pPr>
        <w:bidi w:val="0"/>
        <w:spacing w:before="0" w:beforeAutospacing="off" w:after="0" w:afterAutospacing="off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</w:pPr>
      <w:r w:rsidRPr="43A42A08" w:rsidR="31041E6E"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en-US"/>
        </w:rPr>
        <w:t>Scottish Charity No. SC025308 Company No. SC380020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3c729e2ec48430b"/>
      <w:footerReference w:type="default" r:id="Rb332309f1ba24fed"/>
      <w:titlePg w:val="1"/>
      <w:headerReference w:type="first" r:id="R372819b348154e44"/>
      <w:footerReference w:type="first" r:id="R87a0231ddcba4b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D5FD99" w:rsidTr="51579C89" w14:paraId="19D9197B">
      <w:trPr>
        <w:trHeight w:val="300"/>
      </w:trPr>
      <w:tc>
        <w:tcPr>
          <w:tcW w:w="3120" w:type="dxa"/>
          <w:tcMar/>
        </w:tcPr>
        <w:p w:rsidR="71D5FD99" w:rsidP="71D5FD99" w:rsidRDefault="71D5FD99" w14:paraId="06AAF315" w14:textId="2CCFD86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1D5FD99" w:rsidP="71D5FD99" w:rsidRDefault="71D5FD99" w14:paraId="5F95B3FC" w14:textId="0ED5F1B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1D5FD99" w:rsidP="71D5FD99" w:rsidRDefault="71D5FD99" w14:paraId="5B8C6D54" w14:textId="2F1D18F2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1D5FD99" w:rsidP="71D5FD99" w:rsidRDefault="71D5FD99" w14:paraId="5AA19CF8" w14:textId="0924E0E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90"/>
      <w:gridCol w:w="3120"/>
    </w:tblGrid>
    <w:tr w:rsidR="51579C89" w:rsidTr="51579C89" w14:paraId="154B63B8">
      <w:trPr>
        <w:trHeight w:val="300"/>
      </w:trPr>
      <w:tc>
        <w:tcPr>
          <w:tcW w:w="2790" w:type="dxa"/>
          <w:tcMar/>
        </w:tcPr>
        <w:p w:rsidR="51579C89" w:rsidP="51579C89" w:rsidRDefault="51579C89" w14:paraId="61C8A69D" w14:textId="1D372AA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1579C89" w:rsidP="51579C89" w:rsidRDefault="51579C89" w14:paraId="489C2312" w14:textId="5A87FF9E">
          <w:pPr>
            <w:pStyle w:val="Header"/>
            <w:bidi w:val="0"/>
            <w:ind w:right="-115"/>
            <w:jc w:val="right"/>
          </w:pPr>
        </w:p>
      </w:tc>
    </w:tr>
  </w:tbl>
  <w:p w:rsidR="51579C89" w:rsidP="51579C89" w:rsidRDefault="51579C89" w14:paraId="20B87954" w14:textId="0C8BB800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71D5FD99" w:rsidRDefault="71D5FD99" w14:paraId="6B669B0A" w14:textId="10E8A9F0">
      <w:pPr>
        <w:spacing w:after="0" w:line="240" w:lineRule="auto"/>
      </w:pPr>
      <w:r>
        <w:separator/>
      </w:r>
    </w:p>
  </w:footnote>
  <w:footnote w:type="continuationSeparator" w:id="0">
    <w:p w:rsidR="71D5FD99" w:rsidRDefault="71D5FD99" w14:paraId="4ED4C780" w14:textId="122E2B87">
      <w:pPr>
        <w:spacing w:after="0" w:line="240" w:lineRule="auto"/>
      </w:pPr>
      <w:r>
        <w:continuationSeparator/>
      </w:r>
    </w:p>
  </w:footnote>
  <w:footnote w:id="5927">
    <w:p w:rsidR="71D5FD99" w:rsidP="71D5FD99" w:rsidRDefault="71D5FD99" w14:paraId="29CB66EC" w14:textId="642AD053">
      <w:pPr>
        <w:pStyle w:val="FootnoteText"/>
        <w:bidi w:val="0"/>
        <w:spacing w:after="0" w:line="240" w:lineRule="auto"/>
        <w:rPr>
          <w:noProof w:val="0"/>
          <w:lang w:val="en-US"/>
        </w:rPr>
      </w:pPr>
      <w:r w:rsidRPr="71D5FD99">
        <w:rPr>
          <w:rStyle w:val="FootnoteReference"/>
        </w:rPr>
        <w:footnoteRef/>
      </w:r>
      <w:r w:rsidR="71D5FD99">
        <w:rPr/>
        <w:t xml:space="preserve"> </w:t>
      </w:r>
      <w:r w:rsidRPr="71D5FD99" w:rsidR="71D5FD9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A1A1A"/>
          <w:sz w:val="28"/>
          <w:szCs w:val="28"/>
          <w:lang w:val="en-US"/>
        </w:rPr>
        <w:t>https://www.gov.scot/publications/adult-lifetime-skills-literature-review/pages/8/</w:t>
      </w:r>
    </w:p>
  </w:footnote>
  <w:footnote w:id="4822">
    <w:p w:rsidR="71D5FD99" w:rsidP="71D5FD99" w:rsidRDefault="71D5FD99" w14:paraId="7BC17C75" w14:textId="27B29ECD">
      <w:pPr>
        <w:pStyle w:val="FootnoteText"/>
        <w:bidi w:val="0"/>
        <w:rPr>
          <w:noProof w:val="0"/>
          <w:lang w:val="en-US"/>
        </w:rPr>
      </w:pPr>
      <w:r w:rsidRPr="71D5FD99">
        <w:rPr>
          <w:rStyle w:val="FootnoteReference"/>
        </w:rPr>
        <w:footnoteRef/>
      </w:r>
      <w:r w:rsidR="71D5FD99">
        <w:rPr/>
        <w:t xml:space="preserve"> </w:t>
      </w:r>
      <w:r w:rsidRPr="71D5FD99" w:rsidR="71D5FD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n-US"/>
        </w:rPr>
        <w:t>Valuing the Impact of Adult Learning An analysis of the effect of adult learning on different domains in life, Daniel Fujiwara, 2012 National Institute of Adult Continuing Education</w:t>
      </w:r>
    </w:p>
  </w:footnote>
  <w:footnote w:id="26513">
    <w:p w:rsidR="71D5FD99" w:rsidP="71D5FD99" w:rsidRDefault="71D5FD99" w14:paraId="287177D5" w14:textId="29FF66B0">
      <w:pPr>
        <w:pStyle w:val="FootnoteText"/>
        <w:bidi w:val="0"/>
        <w:rPr>
          <w:noProof w:val="0"/>
          <w:lang w:val="en-US"/>
        </w:rPr>
      </w:pPr>
      <w:r w:rsidRPr="71D5FD99">
        <w:rPr>
          <w:rStyle w:val="FootnoteReference"/>
        </w:rPr>
        <w:footnoteRef/>
      </w:r>
      <w:r w:rsidR="71D5FD99">
        <w:rPr/>
        <w:t xml:space="preserve"> </w:t>
      </w:r>
      <w:r w:rsidRPr="71D5FD99" w:rsidR="71D5FD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n-US"/>
        </w:rPr>
        <w:t>Good for your soul? Adult learning and mental well-being, John Fields, International Journal of Lifelong Education, 28, 2, 2009.</w:t>
      </w:r>
    </w:p>
  </w:footnote>
  <w:footnote w:id="11081">
    <w:p w:rsidR="51579C89" w:rsidP="51579C89" w:rsidRDefault="51579C89" w14:paraId="2C5DB4ED" w14:textId="466FB927">
      <w:pPr>
        <w:pStyle w:val="FootnoteText"/>
        <w:bidi w:val="0"/>
        <w:rPr>
          <w:noProof w:val="0"/>
          <w:lang w:val="en-US"/>
        </w:rPr>
      </w:pPr>
      <w:r w:rsidRPr="51579C89">
        <w:rPr>
          <w:rStyle w:val="FootnoteReference"/>
        </w:rPr>
        <w:footnoteRef/>
      </w:r>
      <w:r w:rsidR="51579C89">
        <w:rPr/>
        <w:t xml:space="preserve"> </w:t>
      </w:r>
      <w:r w:rsidRPr="51579C89" w:rsidR="51579C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62526"/>
          <w:sz w:val="16"/>
          <w:szCs w:val="16"/>
          <w:lang w:val="en-US"/>
        </w:rPr>
        <w:t>Lifelong Learning as a Factor in the Country’s Competitiveness and Innovative Potential within the Framework of Sustainable Development, Aleksandra Kuzioret al, 2025, https://epale.ec.europa.eu/en/resource-centre/content/impact-and-comparison-adult-education-and-lifelong-learning-economy-and</w:t>
      </w:r>
    </w:p>
  </w:footnote>
  <w:footnote w:id="20533">
    <w:p w:rsidR="51579C89" w:rsidP="51579C89" w:rsidRDefault="51579C89" w14:paraId="54EC2BCC" w14:textId="2A057CF9">
      <w:pPr>
        <w:pStyle w:val="FootnoteText"/>
        <w:bidi w:val="0"/>
        <w:rPr>
          <w:noProof w:val="0"/>
          <w:lang w:val="en-US"/>
        </w:rPr>
      </w:pPr>
      <w:r w:rsidRPr="51579C89">
        <w:rPr>
          <w:rStyle w:val="FootnoteReference"/>
        </w:rPr>
        <w:footnoteRef/>
      </w:r>
      <w:r w:rsidR="51579C89">
        <w:rPr/>
        <w:t xml:space="preserve"> </w:t>
      </w:r>
      <w:r w:rsidRPr="51579C89" w:rsidR="51579C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  <w:t>Generations Working Together, Dyslexia Scotland, ESOL Scotland, Lead Scotland, Luminate, Scotland’s Learning Partnership, Scottish Book Trust, Workers’ Educational Association</w:t>
      </w:r>
    </w:p>
    <w:p w:rsidR="51579C89" w:rsidP="51579C89" w:rsidRDefault="51579C89" w14:paraId="25976EA8" w14:textId="5403745B">
      <w:pPr>
        <w:pStyle w:val="FootnoteText"/>
        <w:bidi w:val="0"/>
      </w:pPr>
    </w:p>
  </w:footnote>
  <w:footnote w:id="2617">
    <w:p w:rsidR="43A42A08" w:rsidP="43A42A08" w:rsidRDefault="43A42A08" w14:paraId="2BACE2BC" w14:textId="021BCD8C">
      <w:pPr>
        <w:pStyle w:val="FootnoteText"/>
        <w:bidi w:val="0"/>
      </w:pPr>
      <w:r w:rsidRPr="43A42A08">
        <w:rPr>
          <w:rStyle w:val="FootnoteReference"/>
        </w:rPr>
        <w:footnoteRef/>
      </w:r>
      <w:r w:rsidR="43A42A08">
        <w:rPr/>
        <w:t xml:space="preserve"> https://educationinspectorate.gov.scot/inspection-reports/national-thematic-inspections/evaluation-of-community-learning-and-development-in-scotland/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D5FD99" w:rsidTr="71D5FD99" w14:paraId="5B9F8613">
      <w:trPr>
        <w:trHeight w:val="300"/>
      </w:trPr>
      <w:tc>
        <w:tcPr>
          <w:tcW w:w="3120" w:type="dxa"/>
          <w:tcMar/>
        </w:tcPr>
        <w:p w:rsidR="71D5FD99" w:rsidP="71D5FD99" w:rsidRDefault="71D5FD99" w14:paraId="28BFCE5D" w14:textId="74AF5E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1D5FD99" w:rsidP="71D5FD99" w:rsidRDefault="71D5FD99" w14:paraId="062B425A" w14:textId="54ADFC1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1D5FD99" w:rsidP="71D5FD99" w:rsidRDefault="71D5FD99" w14:paraId="6533A2CE" w14:textId="2F8EBEA1">
          <w:pPr>
            <w:pStyle w:val="Header"/>
            <w:bidi w:val="0"/>
            <w:ind w:right="-115"/>
            <w:jc w:val="right"/>
          </w:pPr>
        </w:p>
      </w:tc>
    </w:tr>
  </w:tbl>
  <w:p w:rsidR="71D5FD99" w:rsidP="71D5FD99" w:rsidRDefault="71D5FD99" w14:paraId="3C93C758" w14:textId="3104716B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579C89" w:rsidTr="51579C89" w14:paraId="433CFA01">
      <w:trPr>
        <w:trHeight w:val="300"/>
      </w:trPr>
      <w:tc>
        <w:tcPr>
          <w:tcW w:w="3120" w:type="dxa"/>
          <w:tcMar/>
        </w:tcPr>
        <w:p w:rsidR="51579C89" w:rsidP="51579C89" w:rsidRDefault="51579C89" w14:paraId="0BE25378" w14:textId="7D44AA84">
          <w:pPr>
            <w:pStyle w:val="Header"/>
            <w:bidi w:val="0"/>
            <w:ind w:left="-115"/>
            <w:jc w:val="left"/>
          </w:pPr>
          <w:r w:rsidR="51579C89">
            <w:drawing>
              <wp:inline wp14:editId="1111BEB3" wp14:anchorId="6B31E5F0">
                <wp:extent cx="1847850" cy="514350"/>
                <wp:effectExtent l="0" t="0" r="0" b="0"/>
                <wp:docPr id="125928945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59289451" name="Picture 125928945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2298200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5143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1579C89" w:rsidP="51579C89" w:rsidRDefault="51579C89" w14:paraId="23D4619D" w14:textId="3553815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1579C89" w:rsidP="51579C89" w:rsidRDefault="51579C89" w14:paraId="3F8CC06C" w14:textId="21E6B63A">
          <w:pPr>
            <w:pStyle w:val="Header"/>
            <w:bidi w:val="0"/>
            <w:ind w:right="-115"/>
            <w:jc w:val="left"/>
            <w:rPr>
              <w:rFonts w:ascii="Arial Nova" w:hAnsi="Arial Nova" w:eastAsia="Arial Nova" w:cs="Arial Nova"/>
              <w:sz w:val="20"/>
              <w:szCs w:val="20"/>
            </w:rPr>
          </w:pPr>
          <w:r w:rsidRPr="51579C89" w:rsidR="51579C89">
            <w:rPr>
              <w:rFonts w:ascii="Arial Nova" w:hAnsi="Arial Nova" w:eastAsia="Arial Nova" w:cs="Arial Nova"/>
              <w:sz w:val="20"/>
              <w:szCs w:val="20"/>
            </w:rPr>
            <w:t>Learning Link Scotland</w:t>
          </w:r>
        </w:p>
        <w:p w:rsidR="51579C89" w:rsidP="51579C89" w:rsidRDefault="51579C89" w14:paraId="6C805004" w14:textId="6C1C4971">
          <w:pPr>
            <w:bidi w:val="0"/>
            <w:spacing w:before="0" w:beforeAutospacing="off" w:after="0" w:afterAutospacing="off"/>
            <w:rPr>
              <w:rFonts w:ascii="Arial Nova" w:hAnsi="Arial Nova" w:eastAsia="Arial Nova" w:cs="Arial Nova"/>
              <w:noProof w:val="0"/>
              <w:color w:val="000000" w:themeColor="text1" w:themeTint="FF" w:themeShade="FF"/>
              <w:sz w:val="20"/>
              <w:szCs w:val="20"/>
              <w:lang w:val="en-US"/>
            </w:rPr>
          </w:pPr>
          <w:r w:rsidRPr="51579C89" w:rsidR="51579C89">
            <w:rPr>
              <w:rFonts w:ascii="Arial Nova" w:hAnsi="Arial Nova" w:eastAsia="Arial Nova" w:cs="Arial Nova"/>
              <w:noProof w:val="0"/>
              <w:color w:val="000000" w:themeColor="text1" w:themeTint="FF" w:themeShade="FF"/>
              <w:sz w:val="20"/>
              <w:szCs w:val="20"/>
              <w:lang w:val="en-US"/>
            </w:rPr>
            <w:t>Robertson House, 152 Bath Street, Glasgow G2 4TB</w:t>
          </w:r>
        </w:p>
        <w:p w:rsidR="51579C89" w:rsidP="51579C89" w:rsidRDefault="51579C89" w14:paraId="1D810360" w14:textId="7A3D55ED">
          <w:pPr>
            <w:bidi w:val="0"/>
            <w:spacing w:before="0" w:beforeAutospacing="off" w:after="0" w:afterAutospacing="off"/>
            <w:rPr>
              <w:rFonts w:ascii="Arial Nova" w:hAnsi="Arial Nova" w:eastAsia="Arial Nova" w:cs="Arial Nova"/>
              <w:noProof w:val="0"/>
              <w:color w:val="000000" w:themeColor="text1" w:themeTint="FF" w:themeShade="FF"/>
              <w:sz w:val="20"/>
              <w:szCs w:val="20"/>
              <w:lang w:val="en-US"/>
            </w:rPr>
          </w:pPr>
          <w:r w:rsidRPr="51579C89" w:rsidR="51579C89">
            <w:rPr>
              <w:rFonts w:ascii="Arial Nova" w:hAnsi="Arial Nova" w:eastAsia="Arial Nova" w:cs="Arial Nova"/>
              <w:noProof w:val="0"/>
              <w:color w:val="000000" w:themeColor="text1" w:themeTint="FF" w:themeShade="FF"/>
              <w:sz w:val="20"/>
              <w:szCs w:val="20"/>
              <w:lang w:val="en-US"/>
            </w:rPr>
            <w:t>Scottish Charity No. SC025308 Company No. SC380020</w:t>
          </w:r>
        </w:p>
        <w:p w:rsidR="51579C89" w:rsidP="51579C89" w:rsidRDefault="51579C89" w14:paraId="4D75D9FE" w14:textId="220FC08C">
          <w:pPr>
            <w:pStyle w:val="Header"/>
            <w:bidi w:val="0"/>
            <w:ind w:right="-115"/>
            <w:jc w:val="right"/>
          </w:pPr>
        </w:p>
      </w:tc>
    </w:tr>
  </w:tbl>
  <w:p w:rsidR="51579C89" w:rsidP="51579C89" w:rsidRDefault="51579C89" w14:paraId="299AC246" w14:textId="487035B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4c96af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5">
    <w:nsid w:val="62af76e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4">
    <w:nsid w:val="73f244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f9a6c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2">
    <w:nsid w:val="6cc330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251f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1ca2f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6db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d296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832c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ff4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20989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29a7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4b08a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d66c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4c9c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F0EDDC"/>
    <w:rsid w:val="00BFCB17"/>
    <w:rsid w:val="00E524C4"/>
    <w:rsid w:val="00F6AFCF"/>
    <w:rsid w:val="0206EFE9"/>
    <w:rsid w:val="021FA4D4"/>
    <w:rsid w:val="02AAF439"/>
    <w:rsid w:val="03321BD5"/>
    <w:rsid w:val="03B29DBA"/>
    <w:rsid w:val="04BEFD53"/>
    <w:rsid w:val="04F21030"/>
    <w:rsid w:val="055B90EC"/>
    <w:rsid w:val="0663B3B4"/>
    <w:rsid w:val="07D37981"/>
    <w:rsid w:val="083713DD"/>
    <w:rsid w:val="0B44CEAC"/>
    <w:rsid w:val="0F3C40C5"/>
    <w:rsid w:val="10790D47"/>
    <w:rsid w:val="11702B7B"/>
    <w:rsid w:val="1208AE32"/>
    <w:rsid w:val="14BBDBC6"/>
    <w:rsid w:val="16164122"/>
    <w:rsid w:val="167577A2"/>
    <w:rsid w:val="1978E79C"/>
    <w:rsid w:val="1B433206"/>
    <w:rsid w:val="1B6FA2A3"/>
    <w:rsid w:val="1C33F99F"/>
    <w:rsid w:val="1CF0EDDC"/>
    <w:rsid w:val="1CF1DC69"/>
    <w:rsid w:val="1D132721"/>
    <w:rsid w:val="1D85FDC6"/>
    <w:rsid w:val="22CE4C40"/>
    <w:rsid w:val="2491E4B4"/>
    <w:rsid w:val="268B0CCC"/>
    <w:rsid w:val="27A2841E"/>
    <w:rsid w:val="2807692E"/>
    <w:rsid w:val="28C7DB9B"/>
    <w:rsid w:val="29C16F44"/>
    <w:rsid w:val="29D056CA"/>
    <w:rsid w:val="2A4EC065"/>
    <w:rsid w:val="2C25F6DB"/>
    <w:rsid w:val="2D068494"/>
    <w:rsid w:val="2E0503E0"/>
    <w:rsid w:val="2F6E874D"/>
    <w:rsid w:val="30415F04"/>
    <w:rsid w:val="31041E6E"/>
    <w:rsid w:val="321A1195"/>
    <w:rsid w:val="322D9C72"/>
    <w:rsid w:val="323D0020"/>
    <w:rsid w:val="33287B06"/>
    <w:rsid w:val="34721069"/>
    <w:rsid w:val="3551D543"/>
    <w:rsid w:val="397182BA"/>
    <w:rsid w:val="3ACE7534"/>
    <w:rsid w:val="3C05B9C6"/>
    <w:rsid w:val="3C65484C"/>
    <w:rsid w:val="3D3637C1"/>
    <w:rsid w:val="3D464828"/>
    <w:rsid w:val="3E8E9B27"/>
    <w:rsid w:val="3EC91753"/>
    <w:rsid w:val="3F11E4FE"/>
    <w:rsid w:val="41333053"/>
    <w:rsid w:val="4351FE1C"/>
    <w:rsid w:val="43A42A08"/>
    <w:rsid w:val="43B2E543"/>
    <w:rsid w:val="4461561F"/>
    <w:rsid w:val="45B870A6"/>
    <w:rsid w:val="4720F382"/>
    <w:rsid w:val="482B3389"/>
    <w:rsid w:val="48EABBBE"/>
    <w:rsid w:val="49E683A6"/>
    <w:rsid w:val="4B6B0973"/>
    <w:rsid w:val="4C627872"/>
    <w:rsid w:val="4C8BBE2D"/>
    <w:rsid w:val="50D99F69"/>
    <w:rsid w:val="512F0499"/>
    <w:rsid w:val="51579C89"/>
    <w:rsid w:val="51CB3EB9"/>
    <w:rsid w:val="52A3E55E"/>
    <w:rsid w:val="539A88CD"/>
    <w:rsid w:val="53CECDFF"/>
    <w:rsid w:val="54751B70"/>
    <w:rsid w:val="54CB3AE3"/>
    <w:rsid w:val="5596CD27"/>
    <w:rsid w:val="561D23B2"/>
    <w:rsid w:val="5A6D0789"/>
    <w:rsid w:val="5ABFA910"/>
    <w:rsid w:val="5AF09921"/>
    <w:rsid w:val="5D073D98"/>
    <w:rsid w:val="5D3E7ED9"/>
    <w:rsid w:val="5ECA38DC"/>
    <w:rsid w:val="60B21365"/>
    <w:rsid w:val="611C9646"/>
    <w:rsid w:val="6138590A"/>
    <w:rsid w:val="615A9FC2"/>
    <w:rsid w:val="62BA3B98"/>
    <w:rsid w:val="62C1D20E"/>
    <w:rsid w:val="658269B2"/>
    <w:rsid w:val="65BBDDCC"/>
    <w:rsid w:val="65E40464"/>
    <w:rsid w:val="662A2BD9"/>
    <w:rsid w:val="67F0D424"/>
    <w:rsid w:val="692C3171"/>
    <w:rsid w:val="69E4833C"/>
    <w:rsid w:val="69F470B7"/>
    <w:rsid w:val="6C348ADB"/>
    <w:rsid w:val="6C4ED6DD"/>
    <w:rsid w:val="6C556E90"/>
    <w:rsid w:val="6C7454C2"/>
    <w:rsid w:val="6DFB204E"/>
    <w:rsid w:val="6EB8F2B7"/>
    <w:rsid w:val="6F7C8497"/>
    <w:rsid w:val="6FD37E51"/>
    <w:rsid w:val="711AC0AA"/>
    <w:rsid w:val="71316EE6"/>
    <w:rsid w:val="71D5FD99"/>
    <w:rsid w:val="7336C005"/>
    <w:rsid w:val="738521BB"/>
    <w:rsid w:val="73DF8AD0"/>
    <w:rsid w:val="74A6A7B9"/>
    <w:rsid w:val="7584EA03"/>
    <w:rsid w:val="7586203A"/>
    <w:rsid w:val="76E8ACBA"/>
    <w:rsid w:val="786FD764"/>
    <w:rsid w:val="7AB9859D"/>
    <w:rsid w:val="7B0EBD57"/>
    <w:rsid w:val="7B1244D8"/>
    <w:rsid w:val="7B3F2851"/>
    <w:rsid w:val="7B962313"/>
    <w:rsid w:val="7BC23344"/>
    <w:rsid w:val="7BCB3456"/>
    <w:rsid w:val="7D321C6A"/>
    <w:rsid w:val="7D446E4D"/>
    <w:rsid w:val="7D4CE15C"/>
    <w:rsid w:val="7D789CEE"/>
    <w:rsid w:val="7E2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6B69"/>
  <w15:chartTrackingRefBased/>
  <w15:docId w15:val="{65A2FF1D-91C7-43AF-878A-BD2E8ECEF2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55B90E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55B90E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55B90EC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055B90EC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FootnoteText">
    <w:uiPriority w:val="99"/>
    <w:name w:val="footnote text"/>
    <w:basedOn w:val="Normal"/>
    <w:semiHidden/>
    <w:unhideWhenUsed/>
    <w:rsid w:val="71D5FD99"/>
    <w:rPr>
      <w:sz w:val="20"/>
      <w:szCs w:val="20"/>
    </w:rPr>
    <w:pPr>
      <w:spacing w:after="0" w:line="240" w:lineRule="auto"/>
    </w:pPr>
  </w:style>
  <w:style w:type="paragraph" w:styleId="EndnoteText">
    <w:uiPriority w:val="99"/>
    <w:name w:val="endnote text"/>
    <w:basedOn w:val="Normal"/>
    <w:semiHidden/>
    <w:unhideWhenUsed/>
    <w:rsid w:val="71D5FD99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71D5FD9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D5FD99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EndnoteReference" mc:Ignorable="w14">
    <w:basedOn xmlns:w="http://schemas.openxmlformats.org/wordprocessingml/2006/main" w:val="DefaultParagraphFont"/>
    <w:name xmlns:w="http://schemas.openxmlformats.org/wordprocessingml/2006/main" w:val="end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ormaltextrun" w:customStyle="true">
    <w:uiPriority w:val="1"/>
    <w:name w:val="normaltextrun"/>
    <w:basedOn w:val="DefaultParagraphFont"/>
    <w:rsid w:val="43A42A08"/>
    <w:rPr>
      <w:rFonts w:ascii="Calibri" w:hAnsi="Calibri" w:eastAsia="Times New Roman" w:cs="" w:asciiTheme="minorAscii" w:hAnsi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005194a119646c2" /><Relationship Type="http://schemas.openxmlformats.org/officeDocument/2006/relationships/header" Target="header.xml" Id="R63c729e2ec48430b" /><Relationship Type="http://schemas.openxmlformats.org/officeDocument/2006/relationships/footer" Target="footer.xml" Id="Rb332309f1ba24fed" /><Relationship Type="http://schemas.openxmlformats.org/officeDocument/2006/relationships/footnotes" Target="footnotes.xml" Id="R71939a0a440040b2" /><Relationship Type="http://schemas.openxmlformats.org/officeDocument/2006/relationships/header" Target="header2.xml" Id="R372819b348154e44" /><Relationship Type="http://schemas.openxmlformats.org/officeDocument/2006/relationships/footer" Target="footer2.xml" Id="R87a0231ddcba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3229820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2025-11-11T11:09:09.2918579Z</dcterms:created>
  <dcterms:modified xsi:type="dcterms:W3CDTF">2025-11-11T16:09:48.3957216Z</dcterms:modified>
  <dc:creator>Jackie Howie</dc:creator>
  <lastModifiedBy>Jackie Howie</lastModifiedBy>
</coreProperties>
</file>